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D36CE1" w14:textId="77777777" w:rsidR="00740BC9" w:rsidRDefault="00000000">
      <w:pPr>
        <w:shd w:val="clear" w:color="auto" w:fill="1A2533"/>
        <w:spacing w:after="0"/>
      </w:pPr>
      <w:r>
        <w:t xml:space="preserve">  </w:t>
      </w:r>
    </w:p>
    <w:p w14:paraId="0AAB48CB" w14:textId="77777777" w:rsidR="00740BC9" w:rsidRDefault="00740BC9">
      <w:pPr>
        <w:spacing w:after="480"/>
      </w:pPr>
    </w:p>
    <w:p w14:paraId="681446D8" w14:textId="77777777" w:rsidR="00740BC9" w:rsidRDefault="00000000">
      <w:pPr>
        <w:spacing w:after="120"/>
      </w:pPr>
      <w:r>
        <w:rPr>
          <w:rFonts w:ascii="Calibri" w:hAnsi="Calibri"/>
          <w:b/>
          <w:color w:val="25AAE1"/>
          <w:sz w:val="18"/>
        </w:rPr>
        <w:t>INTERNAL STRATEGIC DOCUMENT</w:t>
      </w:r>
    </w:p>
    <w:p w14:paraId="6CEEC806" w14:textId="77777777" w:rsidR="00740BC9" w:rsidRDefault="00000000">
      <w:pPr>
        <w:spacing w:after="160"/>
      </w:pPr>
      <w:r>
        <w:rPr>
          <w:rFonts w:ascii="Calibri" w:hAnsi="Calibri"/>
          <w:b/>
          <w:color w:val="1A2533"/>
          <w:sz w:val="60"/>
        </w:rPr>
        <w:t>Portfolio Strategy Brief</w:t>
      </w:r>
    </w:p>
    <w:p w14:paraId="1F7C7C2D" w14:textId="77777777" w:rsidR="00740BC9" w:rsidRDefault="00000000">
      <w:pPr>
        <w:spacing w:after="80"/>
      </w:pPr>
      <w:r>
        <w:rPr>
          <w:rFonts w:ascii="Calibri" w:hAnsi="Calibri"/>
          <w:color w:val="58585A"/>
          <w:sz w:val="28"/>
        </w:rPr>
        <w:t>Business Inventory · Revenue Path · Short-Term Focus Plan</w:t>
      </w:r>
    </w:p>
    <w:p w14:paraId="05B496B4" w14:textId="77777777" w:rsidR="00740BC9" w:rsidRDefault="00740BC9">
      <w:pPr>
        <w:pBdr>
          <w:bottom w:val="single" w:sz="4" w:space="1" w:color="25AAE1"/>
        </w:pBdr>
        <w:spacing w:before="120" w:after="120"/>
      </w:pPr>
    </w:p>
    <w:p w14:paraId="7C062E62" w14:textId="77777777" w:rsidR="00740BC9" w:rsidRDefault="00000000">
      <w:pPr>
        <w:spacing w:before="160" w:after="80"/>
      </w:pPr>
      <w:r>
        <w:rPr>
          <w:rFonts w:ascii="Calibri" w:hAnsi="Calibri"/>
          <w:color w:val="58585A"/>
          <w:sz w:val="19"/>
        </w:rPr>
        <w:t>Director: Roger Bauer     |     Date: March 8, 2026     |     Classification: Confidential</w:t>
      </w:r>
    </w:p>
    <w:p w14:paraId="142E723F" w14:textId="77777777" w:rsidR="00740BC9" w:rsidRDefault="00740BC9">
      <w:pPr>
        <w:spacing w:after="400"/>
      </w:pPr>
    </w:p>
    <w:p w14:paraId="54E18C1D" w14:textId="77777777" w:rsidR="00740BC9" w:rsidRDefault="00000000">
      <w:pPr>
        <w:shd w:val="clear" w:color="auto" w:fill="EAF6FC"/>
        <w:spacing w:after="80"/>
        <w:ind w:left="216" w:right="216"/>
      </w:pPr>
      <w:r>
        <w:rPr>
          <w:rFonts w:ascii="Calibri" w:hAnsi="Calibri"/>
          <w:i/>
          <w:color w:val="333333"/>
          <w:sz w:val="20"/>
        </w:rPr>
        <w:t xml:space="preserve">  This brief inventories Roger's active and dormant business portfolio, clarifies the strategic rationale behind each, and provides team recommendations for the fastest path to monetization. It is intended as a living reference document — to be updated as priorities shift and proof points accumulate.  </w:t>
      </w:r>
    </w:p>
    <w:p w14:paraId="6BC91B56" w14:textId="77777777" w:rsidR="00740BC9" w:rsidRDefault="00000000">
      <w:r>
        <w:br w:type="page"/>
      </w:r>
    </w:p>
    <w:p w14:paraId="1D2A942D" w14:textId="77777777" w:rsidR="00740BC9" w:rsidRDefault="00000000">
      <w:pPr>
        <w:shd w:val="clear" w:color="auto" w:fill="1A2533"/>
        <w:spacing w:before="80" w:after="0"/>
      </w:pPr>
      <w:r>
        <w:rPr>
          <w:rFonts w:ascii="Calibri" w:hAnsi="Calibri"/>
          <w:b/>
          <w:color w:val="FFFFFF"/>
          <w:sz w:val="26"/>
        </w:rPr>
        <w:lastRenderedPageBreak/>
        <w:t xml:space="preserve">  01 — BUSINESS PORTFOLIO INVENTORY  </w:t>
      </w:r>
    </w:p>
    <w:p w14:paraId="0583456A" w14:textId="77777777" w:rsidR="00740BC9" w:rsidRDefault="00740BC9">
      <w:pPr>
        <w:spacing w:after="160"/>
      </w:pPr>
    </w:p>
    <w:p w14:paraId="180A966D" w14:textId="77777777" w:rsidR="00740BC9" w:rsidRDefault="00000000">
      <w:pPr>
        <w:spacing w:after="240"/>
      </w:pPr>
      <w:r>
        <w:rPr>
          <w:rFonts w:ascii="Calibri" w:hAnsi="Calibri"/>
          <w:color w:val="333333"/>
          <w:sz w:val="21"/>
        </w:rPr>
        <w:t>Six businesses currently exist in Roger's portfolio, ranging from active client engagements to dormant assets with deferred potential. Below is the full inventory with focus, status, and strategic notes from the team.</w:t>
      </w:r>
    </w:p>
    <w:p w14:paraId="69399FCC" w14:textId="77777777" w:rsidR="00740BC9" w:rsidRDefault="00740BC9">
      <w:pPr>
        <w:spacing w:after="120"/>
      </w:pPr>
    </w:p>
    <w:tbl>
      <w:tblPr>
        <w:tblW w:w="0" w:type="auto"/>
        <w:tblLook w:val="04A0" w:firstRow="1" w:lastRow="0" w:firstColumn="1" w:lastColumn="0" w:noHBand="0" w:noVBand="1"/>
      </w:tblPr>
      <w:tblGrid>
        <w:gridCol w:w="4680"/>
        <w:gridCol w:w="4680"/>
      </w:tblGrid>
      <w:tr w:rsidR="00740BC9" w14:paraId="4EDC19E2" w14:textId="77777777">
        <w:tc>
          <w:tcPr>
            <w:tcW w:w="4680" w:type="dxa"/>
            <w:shd w:val="clear" w:color="auto" w:fill="2C3E50"/>
          </w:tcPr>
          <w:p w14:paraId="62B44AE5" w14:textId="77777777" w:rsidR="00740BC9" w:rsidRDefault="00000000">
            <w:pPr>
              <w:spacing w:before="80" w:after="80"/>
            </w:pPr>
            <w:r>
              <w:rPr>
                <w:rFonts w:ascii="Calibri" w:hAnsi="Calibri"/>
                <w:b/>
                <w:color w:val="FFFFFF"/>
              </w:rPr>
              <w:t xml:space="preserve">  Dental Marketing Authority (DMA)</w:t>
            </w:r>
          </w:p>
        </w:tc>
        <w:tc>
          <w:tcPr>
            <w:tcW w:w="4680" w:type="dxa"/>
            <w:shd w:val="clear" w:color="auto" w:fill="27AE60"/>
          </w:tcPr>
          <w:p w14:paraId="39AA21B6" w14:textId="77777777" w:rsidR="00740BC9" w:rsidRDefault="00000000">
            <w:pPr>
              <w:spacing w:before="80" w:after="80"/>
              <w:jc w:val="center"/>
            </w:pPr>
            <w:r>
              <w:rPr>
                <w:rFonts w:ascii="Calibri" w:hAnsi="Calibri"/>
                <w:b/>
                <w:color w:val="FFFFFF"/>
                <w:sz w:val="18"/>
              </w:rPr>
              <w:t>ACTIVE</w:t>
            </w:r>
          </w:p>
        </w:tc>
      </w:tr>
    </w:tbl>
    <w:p w14:paraId="6CD9D9FA" w14:textId="77777777" w:rsidR="00740BC9" w:rsidRDefault="00000000">
      <w:pPr>
        <w:shd w:val="clear" w:color="auto" w:fill="F5F5F5"/>
        <w:spacing w:before="40" w:after="80"/>
      </w:pPr>
      <w:r>
        <w:rPr>
          <w:rFonts w:ascii="Calibri" w:hAnsi="Calibri"/>
          <w:b/>
          <w:color w:val="58585A"/>
          <w:sz w:val="18"/>
        </w:rPr>
        <w:t xml:space="preserve">  Tier 1 — Primary Focus</w:t>
      </w:r>
    </w:p>
    <w:tbl>
      <w:tblPr>
        <w:tblW w:w="0" w:type="auto"/>
        <w:tblLook w:val="04A0" w:firstRow="1" w:lastRow="0" w:firstColumn="1" w:lastColumn="0" w:noHBand="0" w:noVBand="1"/>
      </w:tblPr>
      <w:tblGrid>
        <w:gridCol w:w="4680"/>
        <w:gridCol w:w="4680"/>
      </w:tblGrid>
      <w:tr w:rsidR="00740BC9" w14:paraId="130C07AB" w14:textId="77777777">
        <w:tc>
          <w:tcPr>
            <w:tcW w:w="4680" w:type="dxa"/>
            <w:shd w:val="clear" w:color="auto" w:fill="EAF6FC"/>
          </w:tcPr>
          <w:p w14:paraId="7C8C34B7" w14:textId="77777777" w:rsidR="00740BC9" w:rsidRDefault="00000000">
            <w:pPr>
              <w:spacing w:before="80" w:after="80"/>
            </w:pPr>
            <w:r>
              <w:rPr>
                <w:rFonts w:ascii="Calibri" w:hAnsi="Calibri"/>
                <w:b/>
                <w:color w:val="58585A"/>
                <w:sz w:val="18"/>
              </w:rPr>
              <w:t xml:space="preserve">  Focus</w:t>
            </w:r>
          </w:p>
        </w:tc>
        <w:tc>
          <w:tcPr>
            <w:tcW w:w="4680" w:type="dxa"/>
            <w:shd w:val="clear" w:color="auto" w:fill="EAF6FC"/>
          </w:tcPr>
          <w:p w14:paraId="29CF5C13" w14:textId="77777777" w:rsidR="00740BC9" w:rsidRDefault="00000000">
            <w:pPr>
              <w:spacing w:before="80" w:after="80"/>
            </w:pPr>
            <w:r>
              <w:rPr>
                <w:rFonts w:ascii="Calibri" w:hAnsi="Calibri"/>
                <w:color w:val="333333"/>
                <w:sz w:val="19"/>
              </w:rPr>
              <w:t>Implant dentistry (primary), orthodontists offering Invisalign (secondary), general dentists offering Invisalign (tertiary).</w:t>
            </w:r>
          </w:p>
        </w:tc>
      </w:tr>
      <w:tr w:rsidR="00740BC9" w14:paraId="7437C6DB" w14:textId="77777777">
        <w:tc>
          <w:tcPr>
            <w:tcW w:w="4680" w:type="dxa"/>
            <w:shd w:val="clear" w:color="auto" w:fill="FFFFFF"/>
          </w:tcPr>
          <w:p w14:paraId="4F8ED887" w14:textId="77777777" w:rsidR="00740BC9" w:rsidRDefault="00000000">
            <w:pPr>
              <w:spacing w:before="80" w:after="80"/>
            </w:pPr>
            <w:r>
              <w:rPr>
                <w:rFonts w:ascii="Calibri" w:hAnsi="Calibri"/>
                <w:b/>
                <w:color w:val="58585A"/>
                <w:sz w:val="18"/>
              </w:rPr>
              <w:t xml:space="preserve">  Rationale</w:t>
            </w:r>
          </w:p>
        </w:tc>
        <w:tc>
          <w:tcPr>
            <w:tcW w:w="4680" w:type="dxa"/>
            <w:shd w:val="clear" w:color="auto" w:fill="FFFFFF"/>
          </w:tcPr>
          <w:p w14:paraId="36158FBB" w14:textId="77777777" w:rsidR="00740BC9" w:rsidRDefault="00000000">
            <w:pPr>
              <w:spacing w:before="80" w:after="80"/>
            </w:pPr>
            <w:r>
              <w:rPr>
                <w:rFonts w:ascii="Calibri" w:hAnsi="Calibri"/>
                <w:color w:val="333333"/>
                <w:sz w:val="19"/>
              </w:rPr>
              <w:t>Implants are the highest-ticket, highest-satisfaction procedure in dentistry. They allow a dentist to build the lifestyle practice they originally envisioned — fewer patients, higher revenue, technical mastery. The Invisalign add-on creates a second revenue channel while enabling a giveaway/raffle strategy that attracts a mature, less price-sensitive patient profile. This is not a commodity market — it is an authority market. DMA is built for it.</w:t>
            </w:r>
          </w:p>
        </w:tc>
      </w:tr>
      <w:tr w:rsidR="00740BC9" w14:paraId="2CBE191A" w14:textId="77777777">
        <w:tc>
          <w:tcPr>
            <w:tcW w:w="4680" w:type="dxa"/>
            <w:shd w:val="clear" w:color="auto" w:fill="EAF6FC"/>
          </w:tcPr>
          <w:p w14:paraId="1AD4BC2B" w14:textId="77777777" w:rsidR="00740BC9" w:rsidRDefault="00000000">
            <w:pPr>
              <w:spacing w:before="80" w:after="80"/>
            </w:pPr>
            <w:r>
              <w:rPr>
                <w:rFonts w:ascii="Calibri" w:hAnsi="Calibri"/>
                <w:b/>
                <w:color w:val="58585A"/>
                <w:sz w:val="18"/>
              </w:rPr>
              <w:t xml:space="preserve">  Assets In Place</w:t>
            </w:r>
          </w:p>
        </w:tc>
        <w:tc>
          <w:tcPr>
            <w:tcW w:w="4680" w:type="dxa"/>
            <w:shd w:val="clear" w:color="auto" w:fill="EAF6FC"/>
          </w:tcPr>
          <w:p w14:paraId="6E4373CB" w14:textId="77777777" w:rsidR="00740BC9" w:rsidRDefault="00000000">
            <w:pPr>
              <w:spacing w:before="80" w:after="80"/>
            </w:pPr>
            <w:r>
              <w:rPr>
                <w:rFonts w:ascii="Calibri" w:hAnsi="Calibri"/>
                <w:color w:val="333333"/>
                <w:sz w:val="19"/>
              </w:rPr>
              <w:t>Audience persona (implant dentist), 30-day blog pack (April 2026), DMA brand system, article DOCX generator.</w:t>
            </w:r>
          </w:p>
        </w:tc>
      </w:tr>
      <w:tr w:rsidR="00740BC9" w14:paraId="1AAFD02D" w14:textId="77777777">
        <w:tc>
          <w:tcPr>
            <w:tcW w:w="4680" w:type="dxa"/>
            <w:shd w:val="clear" w:color="auto" w:fill="FFFFFF"/>
          </w:tcPr>
          <w:p w14:paraId="13D5B2B8" w14:textId="77777777" w:rsidR="00740BC9" w:rsidRDefault="00000000">
            <w:pPr>
              <w:spacing w:before="80" w:after="80"/>
            </w:pPr>
            <w:r>
              <w:rPr>
                <w:rFonts w:ascii="Calibri" w:hAnsi="Calibri"/>
                <w:b/>
                <w:color w:val="58585A"/>
                <w:sz w:val="18"/>
              </w:rPr>
              <w:t xml:space="preserve">  Next Action</w:t>
            </w:r>
          </w:p>
        </w:tc>
        <w:tc>
          <w:tcPr>
            <w:tcW w:w="4680" w:type="dxa"/>
            <w:shd w:val="clear" w:color="auto" w:fill="FFFFFF"/>
          </w:tcPr>
          <w:p w14:paraId="08360022" w14:textId="77777777" w:rsidR="00740BC9" w:rsidRDefault="00000000">
            <w:pPr>
              <w:spacing w:before="80" w:after="80"/>
            </w:pPr>
            <w:r>
              <w:rPr>
                <w:rFonts w:ascii="Calibri" w:hAnsi="Calibri"/>
                <w:color w:val="333333"/>
                <w:sz w:val="19"/>
              </w:rPr>
              <w:t>First paying client. Case study. Referral system.</w:t>
            </w:r>
          </w:p>
        </w:tc>
      </w:tr>
    </w:tbl>
    <w:p w14:paraId="65D20E2F" w14:textId="77777777" w:rsidR="00740BC9" w:rsidRDefault="00740BC9">
      <w:pPr>
        <w:spacing w:after="160"/>
      </w:pPr>
    </w:p>
    <w:p w14:paraId="467717FC" w14:textId="77777777" w:rsidR="00740BC9" w:rsidRDefault="00740BC9">
      <w:pPr>
        <w:spacing w:after="120"/>
      </w:pPr>
    </w:p>
    <w:tbl>
      <w:tblPr>
        <w:tblW w:w="0" w:type="auto"/>
        <w:tblLook w:val="04A0" w:firstRow="1" w:lastRow="0" w:firstColumn="1" w:lastColumn="0" w:noHBand="0" w:noVBand="1"/>
      </w:tblPr>
      <w:tblGrid>
        <w:gridCol w:w="4680"/>
        <w:gridCol w:w="4680"/>
      </w:tblGrid>
      <w:tr w:rsidR="00740BC9" w14:paraId="710E80D7" w14:textId="77777777">
        <w:tc>
          <w:tcPr>
            <w:tcW w:w="4680" w:type="dxa"/>
            <w:shd w:val="clear" w:color="auto" w:fill="2C3E50"/>
          </w:tcPr>
          <w:p w14:paraId="61E00280" w14:textId="77777777" w:rsidR="00740BC9" w:rsidRDefault="00000000">
            <w:pPr>
              <w:spacing w:before="80" w:after="80"/>
            </w:pPr>
            <w:r>
              <w:rPr>
                <w:rFonts w:ascii="Calibri" w:hAnsi="Calibri"/>
                <w:b/>
                <w:color w:val="FFFFFF"/>
              </w:rPr>
              <w:t xml:space="preserve">  Legal Growth Dynamics (LGD)</w:t>
            </w:r>
          </w:p>
        </w:tc>
        <w:tc>
          <w:tcPr>
            <w:tcW w:w="4680" w:type="dxa"/>
            <w:shd w:val="clear" w:color="auto" w:fill="27AE60"/>
          </w:tcPr>
          <w:p w14:paraId="69CCCE2D" w14:textId="77777777" w:rsidR="00740BC9" w:rsidRDefault="00000000">
            <w:pPr>
              <w:spacing w:before="80" w:after="80"/>
              <w:jc w:val="center"/>
            </w:pPr>
            <w:r>
              <w:rPr>
                <w:rFonts w:ascii="Calibri" w:hAnsi="Calibri"/>
                <w:b/>
                <w:color w:val="FFFFFF"/>
                <w:sz w:val="18"/>
              </w:rPr>
              <w:t>ACTIVE</w:t>
            </w:r>
          </w:p>
        </w:tc>
      </w:tr>
    </w:tbl>
    <w:p w14:paraId="5471B8E8" w14:textId="77777777" w:rsidR="00740BC9" w:rsidRDefault="00000000">
      <w:pPr>
        <w:shd w:val="clear" w:color="auto" w:fill="F5F5F5"/>
        <w:spacing w:before="40" w:after="80"/>
      </w:pPr>
      <w:r>
        <w:rPr>
          <w:rFonts w:ascii="Calibri" w:hAnsi="Calibri"/>
          <w:b/>
          <w:color w:val="58585A"/>
          <w:sz w:val="18"/>
        </w:rPr>
        <w:t xml:space="preserve">  Tier 1 — Primary Focus</w:t>
      </w:r>
    </w:p>
    <w:tbl>
      <w:tblPr>
        <w:tblW w:w="0" w:type="auto"/>
        <w:tblLook w:val="04A0" w:firstRow="1" w:lastRow="0" w:firstColumn="1" w:lastColumn="0" w:noHBand="0" w:noVBand="1"/>
      </w:tblPr>
      <w:tblGrid>
        <w:gridCol w:w="4680"/>
        <w:gridCol w:w="4680"/>
      </w:tblGrid>
      <w:tr w:rsidR="00740BC9" w14:paraId="7A2978A7" w14:textId="77777777">
        <w:tc>
          <w:tcPr>
            <w:tcW w:w="4680" w:type="dxa"/>
            <w:shd w:val="clear" w:color="auto" w:fill="EAF6FC"/>
          </w:tcPr>
          <w:p w14:paraId="29CF7F6A" w14:textId="77777777" w:rsidR="00740BC9" w:rsidRDefault="00000000">
            <w:pPr>
              <w:spacing w:before="80" w:after="80"/>
            </w:pPr>
            <w:r>
              <w:rPr>
                <w:rFonts w:ascii="Calibri" w:hAnsi="Calibri"/>
                <w:b/>
                <w:color w:val="58585A"/>
                <w:sz w:val="18"/>
              </w:rPr>
              <w:t xml:space="preserve">  Focus</w:t>
            </w:r>
          </w:p>
        </w:tc>
        <w:tc>
          <w:tcPr>
            <w:tcW w:w="4680" w:type="dxa"/>
            <w:shd w:val="clear" w:color="auto" w:fill="EAF6FC"/>
          </w:tcPr>
          <w:p w14:paraId="1857C4E6" w14:textId="77777777" w:rsidR="00740BC9" w:rsidRDefault="00000000">
            <w:pPr>
              <w:spacing w:before="80" w:after="80"/>
            </w:pPr>
            <w:r>
              <w:rPr>
                <w:rFonts w:ascii="Calibri" w:hAnsi="Calibri"/>
                <w:color w:val="333333"/>
                <w:sz w:val="19"/>
              </w:rPr>
              <w:t>Family law attorneys seeking more high-net-worth cases.</w:t>
            </w:r>
          </w:p>
        </w:tc>
      </w:tr>
      <w:tr w:rsidR="00740BC9" w14:paraId="26C57C1B" w14:textId="77777777">
        <w:tc>
          <w:tcPr>
            <w:tcW w:w="4680" w:type="dxa"/>
            <w:shd w:val="clear" w:color="auto" w:fill="FFFFFF"/>
          </w:tcPr>
          <w:p w14:paraId="24069B5A" w14:textId="77777777" w:rsidR="00740BC9" w:rsidRDefault="00000000">
            <w:pPr>
              <w:spacing w:before="80" w:after="80"/>
            </w:pPr>
            <w:r>
              <w:rPr>
                <w:rFonts w:ascii="Calibri" w:hAnsi="Calibri"/>
                <w:b/>
                <w:color w:val="58585A"/>
                <w:sz w:val="18"/>
              </w:rPr>
              <w:t xml:space="preserve">  Rationale</w:t>
            </w:r>
          </w:p>
        </w:tc>
        <w:tc>
          <w:tcPr>
            <w:tcW w:w="4680" w:type="dxa"/>
            <w:shd w:val="clear" w:color="auto" w:fill="FFFFFF"/>
          </w:tcPr>
          <w:p w14:paraId="2C8288C3" w14:textId="77777777" w:rsidR="00740BC9" w:rsidRDefault="00000000">
            <w:pPr>
              <w:spacing w:before="80" w:after="80"/>
            </w:pPr>
            <w:r>
              <w:rPr>
                <w:rFonts w:ascii="Calibri" w:hAnsi="Calibri"/>
                <w:color w:val="333333"/>
                <w:sz w:val="19"/>
              </w:rPr>
              <w:t>Family law is a recurring, high-stakes practice area where trust and authority drive client selection. HNW clients do not choose attorneys from ads — they choose based on reputation, visibility, and referred confidence. The authority positioning model fits perfectly. LGD has established infrastructure, client context, and initial deliverables in place.</w:t>
            </w:r>
          </w:p>
        </w:tc>
      </w:tr>
      <w:tr w:rsidR="00740BC9" w14:paraId="63F484DA" w14:textId="77777777">
        <w:tc>
          <w:tcPr>
            <w:tcW w:w="4680" w:type="dxa"/>
            <w:shd w:val="clear" w:color="auto" w:fill="EAF6FC"/>
          </w:tcPr>
          <w:p w14:paraId="0136D46E" w14:textId="77777777" w:rsidR="00740BC9" w:rsidRDefault="00000000">
            <w:pPr>
              <w:spacing w:before="80" w:after="80"/>
            </w:pPr>
            <w:r>
              <w:rPr>
                <w:rFonts w:ascii="Calibri" w:hAnsi="Calibri"/>
                <w:b/>
                <w:color w:val="58585A"/>
                <w:sz w:val="18"/>
              </w:rPr>
              <w:lastRenderedPageBreak/>
              <w:t xml:space="preserve">  Assets In Place</w:t>
            </w:r>
          </w:p>
        </w:tc>
        <w:tc>
          <w:tcPr>
            <w:tcW w:w="4680" w:type="dxa"/>
            <w:shd w:val="clear" w:color="auto" w:fill="EAF6FC"/>
          </w:tcPr>
          <w:p w14:paraId="2F80316A" w14:textId="77777777" w:rsidR="00740BC9" w:rsidRDefault="00000000">
            <w:pPr>
              <w:spacing w:before="80" w:after="80"/>
            </w:pPr>
            <w:r>
              <w:rPr>
                <w:rFonts w:ascii="Calibri" w:hAnsi="Calibri"/>
                <w:color w:val="333333"/>
                <w:sz w:val="19"/>
              </w:rPr>
              <w:t>Multiple delivered documents including Authority Blueprint, Content Authority Strategy, Dream 100, LinkedIn 30-Day Pack, April/May marketing calendars, YouTube scripts.</w:t>
            </w:r>
          </w:p>
        </w:tc>
      </w:tr>
      <w:tr w:rsidR="00740BC9" w14:paraId="0EF0B475" w14:textId="77777777">
        <w:tc>
          <w:tcPr>
            <w:tcW w:w="4680" w:type="dxa"/>
            <w:shd w:val="clear" w:color="auto" w:fill="FFFFFF"/>
          </w:tcPr>
          <w:p w14:paraId="36998044" w14:textId="77777777" w:rsidR="00740BC9" w:rsidRDefault="00000000">
            <w:pPr>
              <w:spacing w:before="80" w:after="80"/>
            </w:pPr>
            <w:r>
              <w:rPr>
                <w:rFonts w:ascii="Calibri" w:hAnsi="Calibri"/>
                <w:b/>
                <w:color w:val="58585A"/>
                <w:sz w:val="18"/>
              </w:rPr>
              <w:t xml:space="preserve">  Next Action</w:t>
            </w:r>
          </w:p>
        </w:tc>
        <w:tc>
          <w:tcPr>
            <w:tcW w:w="4680" w:type="dxa"/>
            <w:shd w:val="clear" w:color="auto" w:fill="FFFFFF"/>
          </w:tcPr>
          <w:p w14:paraId="39DA836D" w14:textId="77777777" w:rsidR="00740BC9" w:rsidRDefault="00000000">
            <w:pPr>
              <w:spacing w:before="80" w:after="80"/>
            </w:pPr>
            <w:r>
              <w:rPr>
                <w:rFonts w:ascii="Calibri" w:hAnsi="Calibri"/>
                <w:color w:val="333333"/>
                <w:sz w:val="19"/>
              </w:rPr>
              <w:t>Close first retainer-level client. Build case study. Activate referral network.</w:t>
            </w:r>
          </w:p>
        </w:tc>
      </w:tr>
    </w:tbl>
    <w:p w14:paraId="4347A766" w14:textId="77777777" w:rsidR="00740BC9" w:rsidRDefault="00740BC9">
      <w:pPr>
        <w:spacing w:after="160"/>
      </w:pPr>
    </w:p>
    <w:p w14:paraId="2EEDC50E" w14:textId="77777777" w:rsidR="00740BC9" w:rsidRDefault="00740BC9">
      <w:pPr>
        <w:spacing w:after="120"/>
      </w:pPr>
    </w:p>
    <w:tbl>
      <w:tblPr>
        <w:tblW w:w="0" w:type="auto"/>
        <w:tblLook w:val="04A0" w:firstRow="1" w:lastRow="0" w:firstColumn="1" w:lastColumn="0" w:noHBand="0" w:noVBand="1"/>
      </w:tblPr>
      <w:tblGrid>
        <w:gridCol w:w="4680"/>
        <w:gridCol w:w="4680"/>
      </w:tblGrid>
      <w:tr w:rsidR="00740BC9" w14:paraId="743F3138" w14:textId="77777777">
        <w:tc>
          <w:tcPr>
            <w:tcW w:w="4680" w:type="dxa"/>
            <w:shd w:val="clear" w:color="auto" w:fill="2C3E50"/>
          </w:tcPr>
          <w:p w14:paraId="72AD6B1F" w14:textId="77777777" w:rsidR="00740BC9" w:rsidRDefault="00000000">
            <w:pPr>
              <w:spacing w:before="80" w:after="80"/>
            </w:pPr>
            <w:r>
              <w:rPr>
                <w:rFonts w:ascii="Calibri" w:hAnsi="Calibri"/>
                <w:b/>
                <w:color w:val="FFFFFF"/>
              </w:rPr>
              <w:t xml:space="preserve">  x2 Sales</w:t>
            </w:r>
          </w:p>
        </w:tc>
        <w:tc>
          <w:tcPr>
            <w:tcW w:w="4680" w:type="dxa"/>
            <w:shd w:val="clear" w:color="auto" w:fill="F39C12"/>
          </w:tcPr>
          <w:p w14:paraId="01F37795" w14:textId="77777777" w:rsidR="00740BC9" w:rsidRDefault="00000000">
            <w:pPr>
              <w:spacing w:before="80" w:after="80"/>
              <w:jc w:val="center"/>
            </w:pPr>
            <w:r>
              <w:rPr>
                <w:rFonts w:ascii="Calibri" w:hAnsi="Calibri"/>
                <w:b/>
                <w:color w:val="FFFFFF"/>
                <w:sz w:val="18"/>
              </w:rPr>
              <w:t>PLANNING</w:t>
            </w:r>
          </w:p>
        </w:tc>
      </w:tr>
    </w:tbl>
    <w:p w14:paraId="375023FD" w14:textId="77777777" w:rsidR="00740BC9" w:rsidRDefault="00000000">
      <w:pPr>
        <w:shd w:val="clear" w:color="auto" w:fill="F5F5F5"/>
        <w:spacing w:before="40" w:after="80"/>
      </w:pPr>
      <w:r>
        <w:rPr>
          <w:rFonts w:ascii="Calibri" w:hAnsi="Calibri"/>
          <w:b/>
          <w:color w:val="58585A"/>
          <w:sz w:val="18"/>
        </w:rPr>
        <w:t xml:space="preserve">  Tier 2 — Deferred</w:t>
      </w:r>
    </w:p>
    <w:tbl>
      <w:tblPr>
        <w:tblW w:w="0" w:type="auto"/>
        <w:tblLook w:val="04A0" w:firstRow="1" w:lastRow="0" w:firstColumn="1" w:lastColumn="0" w:noHBand="0" w:noVBand="1"/>
      </w:tblPr>
      <w:tblGrid>
        <w:gridCol w:w="4680"/>
        <w:gridCol w:w="4680"/>
      </w:tblGrid>
      <w:tr w:rsidR="00740BC9" w14:paraId="4F9A44F5" w14:textId="77777777">
        <w:tc>
          <w:tcPr>
            <w:tcW w:w="4680" w:type="dxa"/>
            <w:shd w:val="clear" w:color="auto" w:fill="EAF6FC"/>
          </w:tcPr>
          <w:p w14:paraId="18816805" w14:textId="77777777" w:rsidR="00740BC9" w:rsidRDefault="00000000">
            <w:pPr>
              <w:spacing w:before="80" w:after="80"/>
            </w:pPr>
            <w:r>
              <w:rPr>
                <w:rFonts w:ascii="Calibri" w:hAnsi="Calibri"/>
                <w:b/>
                <w:color w:val="58585A"/>
                <w:sz w:val="18"/>
              </w:rPr>
              <w:t xml:space="preserve">  Focus</w:t>
            </w:r>
          </w:p>
        </w:tc>
        <w:tc>
          <w:tcPr>
            <w:tcW w:w="4680" w:type="dxa"/>
            <w:shd w:val="clear" w:color="auto" w:fill="EAF6FC"/>
          </w:tcPr>
          <w:p w14:paraId="378049C1" w14:textId="77777777" w:rsidR="00740BC9" w:rsidRDefault="00000000">
            <w:pPr>
              <w:spacing w:before="80" w:after="80"/>
            </w:pPr>
            <w:r>
              <w:rPr>
                <w:rFonts w:ascii="Calibri" w:hAnsi="Calibri"/>
                <w:color w:val="333333"/>
                <w:sz w:val="19"/>
              </w:rPr>
              <w:t>B2B sales consulting. Technology companies and outside-sales-oriented businesses.</w:t>
            </w:r>
          </w:p>
        </w:tc>
      </w:tr>
      <w:tr w:rsidR="00740BC9" w14:paraId="1E024239" w14:textId="77777777">
        <w:tc>
          <w:tcPr>
            <w:tcW w:w="4680" w:type="dxa"/>
            <w:shd w:val="clear" w:color="auto" w:fill="FFFFFF"/>
          </w:tcPr>
          <w:p w14:paraId="6C544EA8" w14:textId="77777777" w:rsidR="00740BC9" w:rsidRDefault="00000000">
            <w:pPr>
              <w:spacing w:before="80" w:after="80"/>
            </w:pPr>
            <w:r>
              <w:rPr>
                <w:rFonts w:ascii="Calibri" w:hAnsi="Calibri"/>
                <w:b/>
                <w:color w:val="58585A"/>
                <w:sz w:val="18"/>
              </w:rPr>
              <w:t xml:space="preserve">  Rationale</w:t>
            </w:r>
          </w:p>
        </w:tc>
        <w:tc>
          <w:tcPr>
            <w:tcW w:w="4680" w:type="dxa"/>
            <w:shd w:val="clear" w:color="auto" w:fill="FFFFFF"/>
          </w:tcPr>
          <w:p w14:paraId="795A7332" w14:textId="77777777" w:rsidR="00740BC9" w:rsidRDefault="00000000">
            <w:pPr>
              <w:spacing w:before="80" w:after="80"/>
            </w:pPr>
            <w:r>
              <w:rPr>
                <w:rFonts w:ascii="Calibri" w:hAnsi="Calibri"/>
                <w:color w:val="333333"/>
                <w:sz w:val="19"/>
              </w:rPr>
              <w:t>B2B sales consulting is a strong authority play — sales leaders, VPs, and founders who need to build or fix a revenue function will pay premium prices for a credible expert. The challenge: the sales cycle for B2B consulting itself is longer and relationship-driven. This is not a fast-cash vehicle — it is a strategic build. Defer until DMA and LGD have proven the ASG model.</w:t>
            </w:r>
          </w:p>
        </w:tc>
      </w:tr>
      <w:tr w:rsidR="00740BC9" w14:paraId="2AA547D0" w14:textId="77777777">
        <w:tc>
          <w:tcPr>
            <w:tcW w:w="4680" w:type="dxa"/>
            <w:shd w:val="clear" w:color="auto" w:fill="EAF6FC"/>
          </w:tcPr>
          <w:p w14:paraId="57B33E53" w14:textId="77777777" w:rsidR="00740BC9" w:rsidRDefault="00000000">
            <w:pPr>
              <w:spacing w:before="80" w:after="80"/>
            </w:pPr>
            <w:r>
              <w:rPr>
                <w:rFonts w:ascii="Calibri" w:hAnsi="Calibri"/>
                <w:b/>
                <w:color w:val="58585A"/>
                <w:sz w:val="18"/>
              </w:rPr>
              <w:t xml:space="preserve">  Assets In Place</w:t>
            </w:r>
          </w:p>
        </w:tc>
        <w:tc>
          <w:tcPr>
            <w:tcW w:w="4680" w:type="dxa"/>
            <w:shd w:val="clear" w:color="auto" w:fill="EAF6FC"/>
          </w:tcPr>
          <w:p w14:paraId="126AEA25" w14:textId="77777777" w:rsidR="00740BC9" w:rsidRDefault="00000000">
            <w:pPr>
              <w:spacing w:before="80" w:after="80"/>
            </w:pPr>
            <w:r>
              <w:rPr>
                <w:rFonts w:ascii="Calibri" w:hAnsi="Calibri"/>
                <w:color w:val="333333"/>
                <w:sz w:val="19"/>
              </w:rPr>
              <w:t>Brand name. Domain (assumed). No active client infrastructure.</w:t>
            </w:r>
          </w:p>
        </w:tc>
      </w:tr>
      <w:tr w:rsidR="00740BC9" w14:paraId="7B3CEAD7" w14:textId="77777777">
        <w:tc>
          <w:tcPr>
            <w:tcW w:w="4680" w:type="dxa"/>
            <w:shd w:val="clear" w:color="auto" w:fill="FFFFFF"/>
          </w:tcPr>
          <w:p w14:paraId="21C0BD26" w14:textId="77777777" w:rsidR="00740BC9" w:rsidRDefault="00000000">
            <w:pPr>
              <w:spacing w:before="80" w:after="80"/>
            </w:pPr>
            <w:r>
              <w:rPr>
                <w:rFonts w:ascii="Calibri" w:hAnsi="Calibri"/>
                <w:b/>
                <w:color w:val="58585A"/>
                <w:sz w:val="18"/>
              </w:rPr>
              <w:t xml:space="preserve">  Next Action</w:t>
            </w:r>
          </w:p>
        </w:tc>
        <w:tc>
          <w:tcPr>
            <w:tcW w:w="4680" w:type="dxa"/>
            <w:shd w:val="clear" w:color="auto" w:fill="FFFFFF"/>
          </w:tcPr>
          <w:p w14:paraId="7A251253" w14:textId="77777777" w:rsidR="00740BC9" w:rsidRDefault="00000000">
            <w:pPr>
              <w:spacing w:before="80" w:after="80"/>
            </w:pPr>
            <w:r>
              <w:rPr>
                <w:rFonts w:ascii="Calibri" w:hAnsi="Calibri"/>
                <w:color w:val="333333"/>
                <w:sz w:val="19"/>
              </w:rPr>
              <w:t>Activate after first case studies from DMA + LGD are secured.</w:t>
            </w:r>
          </w:p>
        </w:tc>
      </w:tr>
    </w:tbl>
    <w:p w14:paraId="6B0A4180" w14:textId="77777777" w:rsidR="00740BC9" w:rsidRDefault="00740BC9">
      <w:pPr>
        <w:spacing w:after="160"/>
      </w:pPr>
    </w:p>
    <w:p w14:paraId="037FAE09" w14:textId="77777777" w:rsidR="00740BC9" w:rsidRDefault="00740BC9">
      <w:pPr>
        <w:spacing w:after="120"/>
      </w:pPr>
    </w:p>
    <w:tbl>
      <w:tblPr>
        <w:tblW w:w="0" w:type="auto"/>
        <w:tblLook w:val="04A0" w:firstRow="1" w:lastRow="0" w:firstColumn="1" w:lastColumn="0" w:noHBand="0" w:noVBand="1"/>
      </w:tblPr>
      <w:tblGrid>
        <w:gridCol w:w="4680"/>
        <w:gridCol w:w="4680"/>
      </w:tblGrid>
      <w:tr w:rsidR="00740BC9" w14:paraId="68672FB5" w14:textId="77777777">
        <w:tc>
          <w:tcPr>
            <w:tcW w:w="4680" w:type="dxa"/>
            <w:shd w:val="clear" w:color="auto" w:fill="2C3E50"/>
          </w:tcPr>
          <w:p w14:paraId="54443D59" w14:textId="77777777" w:rsidR="00740BC9" w:rsidRDefault="00000000">
            <w:pPr>
              <w:spacing w:before="80" w:after="80"/>
            </w:pPr>
            <w:r>
              <w:rPr>
                <w:rFonts w:ascii="Calibri" w:hAnsi="Calibri"/>
                <w:b/>
                <w:color w:val="FFFFFF"/>
              </w:rPr>
              <w:t xml:space="preserve">  Local Consultant Secrets (LCS)</w:t>
            </w:r>
          </w:p>
        </w:tc>
        <w:tc>
          <w:tcPr>
            <w:tcW w:w="4680" w:type="dxa"/>
            <w:shd w:val="clear" w:color="auto" w:fill="F39C12"/>
          </w:tcPr>
          <w:p w14:paraId="58F2745E" w14:textId="77777777" w:rsidR="00740BC9" w:rsidRDefault="00000000">
            <w:pPr>
              <w:spacing w:before="80" w:after="80"/>
              <w:jc w:val="center"/>
            </w:pPr>
            <w:r>
              <w:rPr>
                <w:rFonts w:ascii="Calibri" w:hAnsi="Calibri"/>
                <w:b/>
                <w:color w:val="FFFFFF"/>
                <w:sz w:val="18"/>
              </w:rPr>
              <w:t>PLANNING</w:t>
            </w:r>
          </w:p>
        </w:tc>
      </w:tr>
    </w:tbl>
    <w:p w14:paraId="599E32BB" w14:textId="77777777" w:rsidR="00740BC9" w:rsidRDefault="00000000">
      <w:pPr>
        <w:shd w:val="clear" w:color="auto" w:fill="F5F5F5"/>
        <w:spacing w:before="40" w:after="80"/>
      </w:pPr>
      <w:r>
        <w:rPr>
          <w:rFonts w:ascii="Calibri" w:hAnsi="Calibri"/>
          <w:b/>
          <w:color w:val="58585A"/>
          <w:sz w:val="18"/>
        </w:rPr>
        <w:t xml:space="preserve">  Tier 2 — Deferred</w:t>
      </w:r>
    </w:p>
    <w:tbl>
      <w:tblPr>
        <w:tblW w:w="0" w:type="auto"/>
        <w:tblLook w:val="04A0" w:firstRow="1" w:lastRow="0" w:firstColumn="1" w:lastColumn="0" w:noHBand="0" w:noVBand="1"/>
      </w:tblPr>
      <w:tblGrid>
        <w:gridCol w:w="4680"/>
        <w:gridCol w:w="4680"/>
      </w:tblGrid>
      <w:tr w:rsidR="00740BC9" w14:paraId="201DB1C7" w14:textId="77777777">
        <w:tc>
          <w:tcPr>
            <w:tcW w:w="4680" w:type="dxa"/>
            <w:shd w:val="clear" w:color="auto" w:fill="EAF6FC"/>
          </w:tcPr>
          <w:p w14:paraId="250D1311" w14:textId="77777777" w:rsidR="00740BC9" w:rsidRDefault="00000000">
            <w:pPr>
              <w:spacing w:before="80" w:after="80"/>
            </w:pPr>
            <w:r>
              <w:rPr>
                <w:rFonts w:ascii="Calibri" w:hAnsi="Calibri"/>
                <w:b/>
                <w:color w:val="58585A"/>
                <w:sz w:val="18"/>
              </w:rPr>
              <w:t xml:space="preserve">  Focus</w:t>
            </w:r>
          </w:p>
        </w:tc>
        <w:tc>
          <w:tcPr>
            <w:tcW w:w="4680" w:type="dxa"/>
            <w:shd w:val="clear" w:color="auto" w:fill="EAF6FC"/>
          </w:tcPr>
          <w:p w14:paraId="01A13292" w14:textId="77777777" w:rsidR="00740BC9" w:rsidRDefault="00000000">
            <w:pPr>
              <w:spacing w:before="80" w:after="80"/>
            </w:pPr>
            <w:r>
              <w:rPr>
                <w:rFonts w:ascii="Calibri" w:hAnsi="Calibri"/>
                <w:color w:val="333333"/>
                <w:sz w:val="19"/>
              </w:rPr>
              <w:t>Local consultants offering white-label GHL SaaS or serving local businesses. Template, snapshot, industry insight deliverables plus a training program component.</w:t>
            </w:r>
          </w:p>
        </w:tc>
      </w:tr>
      <w:tr w:rsidR="00740BC9" w14:paraId="3B710DDB" w14:textId="77777777">
        <w:tc>
          <w:tcPr>
            <w:tcW w:w="4680" w:type="dxa"/>
            <w:shd w:val="clear" w:color="auto" w:fill="FFFFFF"/>
          </w:tcPr>
          <w:p w14:paraId="2E39F59D" w14:textId="77777777" w:rsidR="00740BC9" w:rsidRDefault="00000000">
            <w:pPr>
              <w:spacing w:before="80" w:after="80"/>
            </w:pPr>
            <w:r>
              <w:rPr>
                <w:rFonts w:ascii="Calibri" w:hAnsi="Calibri"/>
                <w:b/>
                <w:color w:val="58585A"/>
                <w:sz w:val="18"/>
              </w:rPr>
              <w:t xml:space="preserve">  Rationale</w:t>
            </w:r>
          </w:p>
        </w:tc>
        <w:tc>
          <w:tcPr>
            <w:tcW w:w="4680" w:type="dxa"/>
            <w:shd w:val="clear" w:color="auto" w:fill="FFFFFF"/>
          </w:tcPr>
          <w:p w14:paraId="0090509B" w14:textId="77777777" w:rsidR="00740BC9" w:rsidRDefault="00000000">
            <w:pPr>
              <w:spacing w:before="80" w:after="80"/>
            </w:pPr>
            <w:r>
              <w:rPr>
                <w:rFonts w:ascii="Calibri" w:hAnsi="Calibri"/>
                <w:color w:val="333333"/>
                <w:sz w:val="19"/>
              </w:rPr>
              <w:t xml:space="preserve">This model has structural advantages: productized delivery, recurring revenue potential, and a community/cohort model that scales without adding proportional service labor. However, the audience (local </w:t>
            </w:r>
            <w:r>
              <w:rPr>
                <w:rFonts w:ascii="Calibri" w:hAnsi="Calibri"/>
                <w:color w:val="333333"/>
                <w:sz w:val="19"/>
              </w:rPr>
              <w:lastRenderedPageBreak/>
              <w:t>consultants) is fragmented, price-sensitive in some segments, and requires a strong lead magnet funnel to convert. The training + template model works — but needs dedicated positioning and a functional GHL demonstration environment. Viable at Phase 2.</w:t>
            </w:r>
          </w:p>
        </w:tc>
      </w:tr>
      <w:tr w:rsidR="00740BC9" w14:paraId="637CA83E" w14:textId="77777777">
        <w:tc>
          <w:tcPr>
            <w:tcW w:w="4680" w:type="dxa"/>
            <w:shd w:val="clear" w:color="auto" w:fill="EAF6FC"/>
          </w:tcPr>
          <w:p w14:paraId="7B2D6DF3" w14:textId="77777777" w:rsidR="00740BC9" w:rsidRDefault="00000000">
            <w:pPr>
              <w:spacing w:before="80" w:after="80"/>
            </w:pPr>
            <w:r>
              <w:rPr>
                <w:rFonts w:ascii="Calibri" w:hAnsi="Calibri"/>
                <w:b/>
                <w:color w:val="58585A"/>
                <w:sz w:val="18"/>
              </w:rPr>
              <w:lastRenderedPageBreak/>
              <w:t xml:space="preserve">  Assets In Place</w:t>
            </w:r>
          </w:p>
        </w:tc>
        <w:tc>
          <w:tcPr>
            <w:tcW w:w="4680" w:type="dxa"/>
            <w:shd w:val="clear" w:color="auto" w:fill="EAF6FC"/>
          </w:tcPr>
          <w:p w14:paraId="18DFF9BE" w14:textId="77777777" w:rsidR="00740BC9" w:rsidRDefault="00000000">
            <w:pPr>
              <w:spacing w:before="80" w:after="80"/>
            </w:pPr>
            <w:r>
              <w:rPr>
                <w:rFonts w:ascii="Calibri" w:hAnsi="Calibri"/>
                <w:color w:val="333333"/>
                <w:sz w:val="19"/>
              </w:rPr>
              <w:t>Brand concept. GHL platform access (Legal Growth Pilot). Training program concept.</w:t>
            </w:r>
          </w:p>
        </w:tc>
      </w:tr>
      <w:tr w:rsidR="00740BC9" w14:paraId="6B1C9559" w14:textId="77777777">
        <w:tc>
          <w:tcPr>
            <w:tcW w:w="4680" w:type="dxa"/>
            <w:shd w:val="clear" w:color="auto" w:fill="FFFFFF"/>
          </w:tcPr>
          <w:p w14:paraId="404F3188" w14:textId="77777777" w:rsidR="00740BC9" w:rsidRDefault="00000000">
            <w:pPr>
              <w:spacing w:before="80" w:after="80"/>
            </w:pPr>
            <w:r>
              <w:rPr>
                <w:rFonts w:ascii="Calibri" w:hAnsi="Calibri"/>
                <w:b/>
                <w:color w:val="58585A"/>
                <w:sz w:val="18"/>
              </w:rPr>
              <w:t xml:space="preserve">  Next Action</w:t>
            </w:r>
          </w:p>
        </w:tc>
        <w:tc>
          <w:tcPr>
            <w:tcW w:w="4680" w:type="dxa"/>
            <w:shd w:val="clear" w:color="auto" w:fill="FFFFFF"/>
          </w:tcPr>
          <w:p w14:paraId="392C1489" w14:textId="77777777" w:rsidR="00740BC9" w:rsidRDefault="00000000">
            <w:pPr>
              <w:spacing w:before="80" w:after="80"/>
            </w:pPr>
            <w:r>
              <w:rPr>
                <w:rFonts w:ascii="Calibri" w:hAnsi="Calibri"/>
                <w:color w:val="333333"/>
                <w:sz w:val="19"/>
              </w:rPr>
              <w:t>Define core curriculum. Build pilot cohort offer. Activate post-DMA/LGD.</w:t>
            </w:r>
          </w:p>
        </w:tc>
      </w:tr>
    </w:tbl>
    <w:p w14:paraId="429A5F68" w14:textId="77777777" w:rsidR="00740BC9" w:rsidRDefault="00740BC9">
      <w:pPr>
        <w:spacing w:after="160"/>
      </w:pPr>
    </w:p>
    <w:p w14:paraId="374AFE29" w14:textId="77777777" w:rsidR="00740BC9" w:rsidRDefault="00740BC9">
      <w:pPr>
        <w:spacing w:after="120"/>
      </w:pPr>
    </w:p>
    <w:tbl>
      <w:tblPr>
        <w:tblW w:w="0" w:type="auto"/>
        <w:tblLook w:val="04A0" w:firstRow="1" w:lastRow="0" w:firstColumn="1" w:lastColumn="0" w:noHBand="0" w:noVBand="1"/>
      </w:tblPr>
      <w:tblGrid>
        <w:gridCol w:w="4680"/>
        <w:gridCol w:w="4680"/>
      </w:tblGrid>
      <w:tr w:rsidR="00740BC9" w14:paraId="61256FEE" w14:textId="77777777">
        <w:tc>
          <w:tcPr>
            <w:tcW w:w="4680" w:type="dxa"/>
            <w:shd w:val="clear" w:color="auto" w:fill="2C3E50"/>
          </w:tcPr>
          <w:p w14:paraId="53053B84" w14:textId="77777777" w:rsidR="00740BC9" w:rsidRDefault="00000000">
            <w:pPr>
              <w:spacing w:before="80" w:after="80"/>
            </w:pPr>
            <w:r>
              <w:rPr>
                <w:rFonts w:ascii="Calibri" w:hAnsi="Calibri"/>
                <w:b/>
                <w:color w:val="FFFFFF"/>
              </w:rPr>
              <w:t xml:space="preserve">  SMB Consulting</w:t>
            </w:r>
          </w:p>
        </w:tc>
        <w:tc>
          <w:tcPr>
            <w:tcW w:w="4680" w:type="dxa"/>
            <w:shd w:val="clear" w:color="auto" w:fill="C0392B"/>
          </w:tcPr>
          <w:p w14:paraId="0AC921E1" w14:textId="77777777" w:rsidR="00740BC9" w:rsidRDefault="00000000">
            <w:pPr>
              <w:spacing w:before="80" w:after="80"/>
              <w:jc w:val="center"/>
            </w:pPr>
            <w:r>
              <w:rPr>
                <w:rFonts w:ascii="Calibri" w:hAnsi="Calibri"/>
                <w:b/>
                <w:color w:val="FFFFFF"/>
                <w:sz w:val="18"/>
              </w:rPr>
              <w:t>DORMANT</w:t>
            </w:r>
          </w:p>
        </w:tc>
      </w:tr>
    </w:tbl>
    <w:p w14:paraId="7443EA54" w14:textId="77777777" w:rsidR="00740BC9" w:rsidRDefault="00000000">
      <w:pPr>
        <w:shd w:val="clear" w:color="auto" w:fill="F5F5F5"/>
        <w:spacing w:before="40" w:after="80"/>
      </w:pPr>
      <w:r>
        <w:rPr>
          <w:rFonts w:ascii="Calibri" w:hAnsi="Calibri"/>
          <w:b/>
          <w:color w:val="58585A"/>
          <w:sz w:val="18"/>
        </w:rPr>
        <w:t xml:space="preserve">  Tier 3 — No Action Required</w:t>
      </w:r>
    </w:p>
    <w:tbl>
      <w:tblPr>
        <w:tblW w:w="0" w:type="auto"/>
        <w:tblLook w:val="04A0" w:firstRow="1" w:lastRow="0" w:firstColumn="1" w:lastColumn="0" w:noHBand="0" w:noVBand="1"/>
      </w:tblPr>
      <w:tblGrid>
        <w:gridCol w:w="4680"/>
        <w:gridCol w:w="4680"/>
      </w:tblGrid>
      <w:tr w:rsidR="00740BC9" w14:paraId="71E32BAE" w14:textId="77777777">
        <w:tc>
          <w:tcPr>
            <w:tcW w:w="4680" w:type="dxa"/>
            <w:shd w:val="clear" w:color="auto" w:fill="EAF6FC"/>
          </w:tcPr>
          <w:p w14:paraId="6C8195CB" w14:textId="77777777" w:rsidR="00740BC9" w:rsidRDefault="00000000">
            <w:pPr>
              <w:spacing w:before="80" w:after="80"/>
            </w:pPr>
            <w:r>
              <w:rPr>
                <w:rFonts w:ascii="Calibri" w:hAnsi="Calibri"/>
                <w:b/>
                <w:color w:val="58585A"/>
                <w:sz w:val="18"/>
              </w:rPr>
              <w:t xml:space="preserve">  Focus</w:t>
            </w:r>
          </w:p>
        </w:tc>
        <w:tc>
          <w:tcPr>
            <w:tcW w:w="4680" w:type="dxa"/>
            <w:shd w:val="clear" w:color="auto" w:fill="EAF6FC"/>
          </w:tcPr>
          <w:p w14:paraId="425C818F" w14:textId="77777777" w:rsidR="00740BC9" w:rsidRDefault="00000000">
            <w:pPr>
              <w:spacing w:before="80" w:after="80"/>
            </w:pPr>
            <w:r>
              <w:rPr>
                <w:rFonts w:ascii="Calibri" w:hAnsi="Calibri"/>
                <w:color w:val="333333"/>
                <w:sz w:val="19"/>
              </w:rPr>
              <w:t>Local service businesses. Original company, dormant for approximately 10 years.</w:t>
            </w:r>
          </w:p>
        </w:tc>
      </w:tr>
      <w:tr w:rsidR="00740BC9" w14:paraId="7E4B55F0" w14:textId="77777777">
        <w:tc>
          <w:tcPr>
            <w:tcW w:w="4680" w:type="dxa"/>
            <w:shd w:val="clear" w:color="auto" w:fill="FFFFFF"/>
          </w:tcPr>
          <w:p w14:paraId="330F9F28" w14:textId="77777777" w:rsidR="00740BC9" w:rsidRDefault="00000000">
            <w:pPr>
              <w:spacing w:before="80" w:after="80"/>
            </w:pPr>
            <w:r>
              <w:rPr>
                <w:rFonts w:ascii="Calibri" w:hAnsi="Calibri"/>
                <w:b/>
                <w:color w:val="58585A"/>
                <w:sz w:val="18"/>
              </w:rPr>
              <w:t xml:space="preserve">  Rationale</w:t>
            </w:r>
          </w:p>
        </w:tc>
        <w:tc>
          <w:tcPr>
            <w:tcW w:w="4680" w:type="dxa"/>
            <w:shd w:val="clear" w:color="auto" w:fill="FFFFFF"/>
          </w:tcPr>
          <w:p w14:paraId="79599F90" w14:textId="77777777" w:rsidR="00740BC9" w:rsidRDefault="00000000">
            <w:pPr>
              <w:spacing w:before="80" w:after="80"/>
            </w:pPr>
            <w:r>
              <w:rPr>
                <w:rFonts w:ascii="Calibri" w:hAnsi="Calibri"/>
                <w:color w:val="333333"/>
                <w:sz w:val="19"/>
              </w:rPr>
              <w:t>Roger's own assessment is accurate: ASG serves this market better, with fewer constraints and higher price points. Small business clients at the local service level rarely have the budget for the engagement style that generates meaningful ROI for either party. The ASG model — authority positioning for businesses that can command premium prices — is a direct upgrade to the SMB Consulting model. No action recommended.</w:t>
            </w:r>
          </w:p>
        </w:tc>
      </w:tr>
      <w:tr w:rsidR="00740BC9" w14:paraId="131E3093" w14:textId="77777777">
        <w:tc>
          <w:tcPr>
            <w:tcW w:w="4680" w:type="dxa"/>
            <w:shd w:val="clear" w:color="auto" w:fill="EAF6FC"/>
          </w:tcPr>
          <w:p w14:paraId="2B2CD77E" w14:textId="77777777" w:rsidR="00740BC9" w:rsidRDefault="00000000">
            <w:pPr>
              <w:spacing w:before="80" w:after="80"/>
            </w:pPr>
            <w:r>
              <w:rPr>
                <w:rFonts w:ascii="Calibri" w:hAnsi="Calibri"/>
                <w:b/>
                <w:color w:val="58585A"/>
                <w:sz w:val="18"/>
              </w:rPr>
              <w:t xml:space="preserve">  Assets In Place</w:t>
            </w:r>
          </w:p>
        </w:tc>
        <w:tc>
          <w:tcPr>
            <w:tcW w:w="4680" w:type="dxa"/>
            <w:shd w:val="clear" w:color="auto" w:fill="EAF6FC"/>
          </w:tcPr>
          <w:p w14:paraId="7253C7A0" w14:textId="77777777" w:rsidR="00740BC9" w:rsidRDefault="00000000">
            <w:pPr>
              <w:spacing w:before="80" w:after="80"/>
            </w:pPr>
            <w:r>
              <w:rPr>
                <w:rFonts w:ascii="Calibri" w:hAnsi="Calibri"/>
                <w:color w:val="333333"/>
                <w:sz w:val="19"/>
              </w:rPr>
              <w:t>Brand name. Domain. Historical client experience (valuable as proof of concept).</w:t>
            </w:r>
          </w:p>
        </w:tc>
      </w:tr>
      <w:tr w:rsidR="00740BC9" w14:paraId="3B2441DB" w14:textId="77777777">
        <w:tc>
          <w:tcPr>
            <w:tcW w:w="4680" w:type="dxa"/>
            <w:shd w:val="clear" w:color="auto" w:fill="FFFFFF"/>
          </w:tcPr>
          <w:p w14:paraId="083A3D2A" w14:textId="77777777" w:rsidR="00740BC9" w:rsidRDefault="00000000">
            <w:pPr>
              <w:spacing w:before="80" w:after="80"/>
            </w:pPr>
            <w:r>
              <w:rPr>
                <w:rFonts w:ascii="Calibri" w:hAnsi="Calibri"/>
                <w:b/>
                <w:color w:val="58585A"/>
                <w:sz w:val="18"/>
              </w:rPr>
              <w:t xml:space="preserve">  Next Action</w:t>
            </w:r>
          </w:p>
        </w:tc>
        <w:tc>
          <w:tcPr>
            <w:tcW w:w="4680" w:type="dxa"/>
            <w:shd w:val="clear" w:color="auto" w:fill="FFFFFF"/>
          </w:tcPr>
          <w:p w14:paraId="3D492BDB" w14:textId="77777777" w:rsidR="00740BC9" w:rsidRDefault="00000000">
            <w:pPr>
              <w:spacing w:before="80" w:after="80"/>
            </w:pPr>
            <w:r>
              <w:rPr>
                <w:rFonts w:ascii="Calibri" w:hAnsi="Calibri"/>
                <w:color w:val="333333"/>
                <w:sz w:val="19"/>
              </w:rPr>
              <w:t>None. Let it remain dormant. Do not actively wind down — no action needed.</w:t>
            </w:r>
          </w:p>
        </w:tc>
      </w:tr>
    </w:tbl>
    <w:p w14:paraId="78FF4B77" w14:textId="77777777" w:rsidR="00740BC9" w:rsidRDefault="00740BC9">
      <w:pPr>
        <w:spacing w:after="160"/>
      </w:pPr>
    </w:p>
    <w:p w14:paraId="74FF1D6C" w14:textId="77777777" w:rsidR="00740BC9" w:rsidRDefault="00740BC9">
      <w:pPr>
        <w:spacing w:after="120"/>
      </w:pPr>
    </w:p>
    <w:tbl>
      <w:tblPr>
        <w:tblW w:w="0" w:type="auto"/>
        <w:tblLook w:val="04A0" w:firstRow="1" w:lastRow="0" w:firstColumn="1" w:lastColumn="0" w:noHBand="0" w:noVBand="1"/>
      </w:tblPr>
      <w:tblGrid>
        <w:gridCol w:w="4680"/>
        <w:gridCol w:w="4680"/>
      </w:tblGrid>
      <w:tr w:rsidR="00740BC9" w14:paraId="6CAB3BEF" w14:textId="77777777">
        <w:tc>
          <w:tcPr>
            <w:tcW w:w="4680" w:type="dxa"/>
            <w:shd w:val="clear" w:color="auto" w:fill="2C3E50"/>
          </w:tcPr>
          <w:p w14:paraId="7A18A88C" w14:textId="77777777" w:rsidR="00740BC9" w:rsidRDefault="00000000">
            <w:pPr>
              <w:spacing w:before="80" w:after="80"/>
            </w:pPr>
            <w:r>
              <w:rPr>
                <w:rFonts w:ascii="Calibri" w:hAnsi="Calibri"/>
                <w:b/>
                <w:color w:val="FFFFFF"/>
              </w:rPr>
              <w:t xml:space="preserve">  Legal Growth Pilot</w:t>
            </w:r>
          </w:p>
        </w:tc>
        <w:tc>
          <w:tcPr>
            <w:tcW w:w="4680" w:type="dxa"/>
            <w:shd w:val="clear" w:color="auto" w:fill="F39C12"/>
          </w:tcPr>
          <w:p w14:paraId="1F070DDB" w14:textId="77777777" w:rsidR="00740BC9" w:rsidRDefault="00000000">
            <w:pPr>
              <w:spacing w:before="80" w:after="80"/>
              <w:jc w:val="center"/>
            </w:pPr>
            <w:r>
              <w:rPr>
                <w:rFonts w:ascii="Calibri" w:hAnsi="Calibri"/>
                <w:b/>
                <w:color w:val="FFFFFF"/>
                <w:sz w:val="18"/>
              </w:rPr>
              <w:t>INFRASTRUCTURE</w:t>
            </w:r>
          </w:p>
        </w:tc>
      </w:tr>
    </w:tbl>
    <w:p w14:paraId="00273491" w14:textId="77777777" w:rsidR="00740BC9" w:rsidRDefault="00000000">
      <w:pPr>
        <w:shd w:val="clear" w:color="auto" w:fill="F5F5F5"/>
        <w:spacing w:before="40" w:after="80"/>
      </w:pPr>
      <w:r>
        <w:rPr>
          <w:rFonts w:ascii="Calibri" w:hAnsi="Calibri"/>
          <w:b/>
          <w:color w:val="58585A"/>
          <w:sz w:val="18"/>
        </w:rPr>
        <w:t xml:space="preserve">  Tier 2 — Support Role</w:t>
      </w:r>
    </w:p>
    <w:tbl>
      <w:tblPr>
        <w:tblW w:w="0" w:type="auto"/>
        <w:tblLook w:val="04A0" w:firstRow="1" w:lastRow="0" w:firstColumn="1" w:lastColumn="0" w:noHBand="0" w:noVBand="1"/>
      </w:tblPr>
      <w:tblGrid>
        <w:gridCol w:w="4680"/>
        <w:gridCol w:w="4680"/>
      </w:tblGrid>
      <w:tr w:rsidR="00740BC9" w14:paraId="7EACE6E1" w14:textId="77777777">
        <w:tc>
          <w:tcPr>
            <w:tcW w:w="4680" w:type="dxa"/>
            <w:shd w:val="clear" w:color="auto" w:fill="EAF6FC"/>
          </w:tcPr>
          <w:p w14:paraId="7B185226" w14:textId="77777777" w:rsidR="00740BC9" w:rsidRDefault="00000000">
            <w:pPr>
              <w:spacing w:before="80" w:after="80"/>
            </w:pPr>
            <w:r>
              <w:rPr>
                <w:rFonts w:ascii="Calibri" w:hAnsi="Calibri"/>
                <w:b/>
                <w:color w:val="58585A"/>
                <w:sz w:val="18"/>
              </w:rPr>
              <w:t xml:space="preserve">  Focus</w:t>
            </w:r>
          </w:p>
        </w:tc>
        <w:tc>
          <w:tcPr>
            <w:tcW w:w="4680" w:type="dxa"/>
            <w:shd w:val="clear" w:color="auto" w:fill="EAF6FC"/>
          </w:tcPr>
          <w:p w14:paraId="6F1473D7" w14:textId="77777777" w:rsidR="00740BC9" w:rsidRDefault="00000000">
            <w:pPr>
              <w:spacing w:before="80" w:after="80"/>
            </w:pPr>
            <w:r>
              <w:rPr>
                <w:rFonts w:ascii="Calibri" w:hAnsi="Calibri"/>
                <w:color w:val="333333"/>
                <w:sz w:val="19"/>
              </w:rPr>
              <w:t xml:space="preserve">White-label GHL platform for running automations and CRM installations for clients. Originally conceived as a legal-industry CRM; now recognized as broader </w:t>
            </w:r>
            <w:r>
              <w:rPr>
                <w:rFonts w:ascii="Calibri" w:hAnsi="Calibri"/>
                <w:color w:val="333333"/>
                <w:sz w:val="19"/>
              </w:rPr>
              <w:lastRenderedPageBreak/>
              <w:t>infrastructure.</w:t>
            </w:r>
          </w:p>
        </w:tc>
      </w:tr>
      <w:tr w:rsidR="00740BC9" w14:paraId="543C17CD" w14:textId="77777777">
        <w:tc>
          <w:tcPr>
            <w:tcW w:w="4680" w:type="dxa"/>
            <w:shd w:val="clear" w:color="auto" w:fill="FFFFFF"/>
          </w:tcPr>
          <w:p w14:paraId="4A22359B" w14:textId="77777777" w:rsidR="00740BC9" w:rsidRDefault="00000000">
            <w:pPr>
              <w:spacing w:before="80" w:after="80"/>
            </w:pPr>
            <w:r>
              <w:rPr>
                <w:rFonts w:ascii="Calibri" w:hAnsi="Calibri"/>
                <w:b/>
                <w:color w:val="58585A"/>
                <w:sz w:val="18"/>
              </w:rPr>
              <w:lastRenderedPageBreak/>
              <w:t xml:space="preserve">  Rationale</w:t>
            </w:r>
          </w:p>
        </w:tc>
        <w:tc>
          <w:tcPr>
            <w:tcW w:w="4680" w:type="dxa"/>
            <w:shd w:val="clear" w:color="auto" w:fill="FFFFFF"/>
          </w:tcPr>
          <w:p w14:paraId="1D6F5C7E" w14:textId="77777777" w:rsidR="00740BC9" w:rsidRDefault="00000000">
            <w:pPr>
              <w:spacing w:before="80" w:after="80"/>
            </w:pPr>
            <w:r>
              <w:rPr>
                <w:rFonts w:ascii="Calibri" w:hAnsi="Calibri"/>
                <w:color w:val="333333"/>
                <w:sz w:val="19"/>
              </w:rPr>
              <w:t>This is not a client-facing business in its current form — it is the operational backbone. GHL is the delivery layer for ASG's digital systems work (Marcus Chen's domain). The question is not whether to use it — it will be used for every client who needs CRM automation. The question is whether to rebrand it as an ASG-aligned product (e.g., "Authority OS" or similar). That rebrand is a Phase 2 consideration. For now: operate it as infrastructure, not a product.</w:t>
            </w:r>
          </w:p>
        </w:tc>
      </w:tr>
      <w:tr w:rsidR="00740BC9" w14:paraId="44CD8EE2" w14:textId="77777777">
        <w:tc>
          <w:tcPr>
            <w:tcW w:w="4680" w:type="dxa"/>
            <w:shd w:val="clear" w:color="auto" w:fill="EAF6FC"/>
          </w:tcPr>
          <w:p w14:paraId="2069FEFF" w14:textId="77777777" w:rsidR="00740BC9" w:rsidRDefault="00000000">
            <w:pPr>
              <w:spacing w:before="80" w:after="80"/>
            </w:pPr>
            <w:r>
              <w:rPr>
                <w:rFonts w:ascii="Calibri" w:hAnsi="Calibri"/>
                <w:b/>
                <w:color w:val="58585A"/>
                <w:sz w:val="18"/>
              </w:rPr>
              <w:t xml:space="preserve">  Assets In Place</w:t>
            </w:r>
          </w:p>
        </w:tc>
        <w:tc>
          <w:tcPr>
            <w:tcW w:w="4680" w:type="dxa"/>
            <w:shd w:val="clear" w:color="auto" w:fill="EAF6FC"/>
          </w:tcPr>
          <w:p w14:paraId="1D684937" w14:textId="77777777" w:rsidR="00740BC9" w:rsidRDefault="00000000">
            <w:pPr>
              <w:spacing w:before="80" w:after="80"/>
            </w:pPr>
            <w:r>
              <w:rPr>
                <w:rFonts w:ascii="Calibri" w:hAnsi="Calibri"/>
                <w:color w:val="333333"/>
                <w:sz w:val="19"/>
              </w:rPr>
              <w:t>Active GHL account. Existing automation and CRM build capacity.</w:t>
            </w:r>
          </w:p>
        </w:tc>
      </w:tr>
      <w:tr w:rsidR="00740BC9" w14:paraId="045915FE" w14:textId="77777777">
        <w:tc>
          <w:tcPr>
            <w:tcW w:w="4680" w:type="dxa"/>
            <w:shd w:val="clear" w:color="auto" w:fill="FFFFFF"/>
          </w:tcPr>
          <w:p w14:paraId="1CEF4E05" w14:textId="77777777" w:rsidR="00740BC9" w:rsidRDefault="00000000">
            <w:pPr>
              <w:spacing w:before="80" w:after="80"/>
            </w:pPr>
            <w:r>
              <w:rPr>
                <w:rFonts w:ascii="Calibri" w:hAnsi="Calibri"/>
                <w:b/>
                <w:color w:val="58585A"/>
                <w:sz w:val="18"/>
              </w:rPr>
              <w:t xml:space="preserve">  Next Action</w:t>
            </w:r>
          </w:p>
        </w:tc>
        <w:tc>
          <w:tcPr>
            <w:tcW w:w="4680" w:type="dxa"/>
            <w:shd w:val="clear" w:color="auto" w:fill="FFFFFF"/>
          </w:tcPr>
          <w:p w14:paraId="2390C818" w14:textId="77777777" w:rsidR="00740BC9" w:rsidRDefault="00000000">
            <w:pPr>
              <w:spacing w:before="80" w:after="80"/>
            </w:pPr>
            <w:r>
              <w:rPr>
                <w:rFonts w:ascii="Calibri" w:hAnsi="Calibri"/>
                <w:color w:val="333333"/>
                <w:sz w:val="19"/>
              </w:rPr>
              <w:t>Use for DMA and LGD client CRM installations. Rebrand consideration deferred.</w:t>
            </w:r>
          </w:p>
        </w:tc>
      </w:tr>
    </w:tbl>
    <w:p w14:paraId="68AD5982" w14:textId="77777777" w:rsidR="00740BC9" w:rsidRDefault="00740BC9">
      <w:pPr>
        <w:spacing w:after="160"/>
      </w:pPr>
    </w:p>
    <w:p w14:paraId="5D4FBED2" w14:textId="77777777" w:rsidR="00740BC9" w:rsidRDefault="00000000">
      <w:r>
        <w:br w:type="page"/>
      </w:r>
    </w:p>
    <w:p w14:paraId="57585C06" w14:textId="77777777" w:rsidR="00740BC9" w:rsidRDefault="00000000">
      <w:pPr>
        <w:shd w:val="clear" w:color="auto" w:fill="1A2533"/>
        <w:spacing w:before="80" w:after="0"/>
      </w:pPr>
      <w:r>
        <w:rPr>
          <w:rFonts w:ascii="Calibri" w:hAnsi="Calibri"/>
          <w:b/>
          <w:color w:val="FFFFFF"/>
          <w:sz w:val="26"/>
        </w:rPr>
        <w:lastRenderedPageBreak/>
        <w:t xml:space="preserve">  02 — STRATEGIC ASSESSMENT  |  Daniel Frost, CSO  </w:t>
      </w:r>
    </w:p>
    <w:p w14:paraId="73CF34EF" w14:textId="77777777" w:rsidR="00740BC9" w:rsidRDefault="00740BC9">
      <w:pPr>
        <w:spacing w:after="160"/>
      </w:pPr>
    </w:p>
    <w:p w14:paraId="6F2E9E19" w14:textId="77777777" w:rsidR="00740BC9" w:rsidRDefault="00000000">
      <w:r>
        <w:rPr>
          <w:rFonts w:ascii="Calibri" w:hAnsi="Calibri"/>
          <w:color w:val="333333"/>
          <w:sz w:val="21"/>
        </w:rPr>
        <w:t>From a market positioning and competitive moat perspective, the portfolio concentration Roger is describing is exactly right. Here is how I see it:</w:t>
      </w:r>
    </w:p>
    <w:p w14:paraId="6A7406DC" w14:textId="77777777" w:rsidR="00740BC9" w:rsidRDefault="00000000">
      <w:pPr>
        <w:spacing w:before="200" w:after="40"/>
      </w:pPr>
      <w:r>
        <w:rPr>
          <w:rFonts w:ascii="Calibri" w:hAnsi="Calibri"/>
          <w:b/>
          <w:color w:val="25AAE1"/>
        </w:rPr>
        <w:t>Why Two Niches First — Not Six</w:t>
      </w:r>
    </w:p>
    <w:p w14:paraId="003827C7" w14:textId="77777777" w:rsidR="00740BC9" w:rsidRDefault="00000000">
      <w:pPr>
        <w:spacing w:after="120"/>
      </w:pPr>
      <w:r>
        <w:rPr>
          <w:rFonts w:ascii="Calibri" w:hAnsi="Calibri"/>
          <w:color w:val="333333"/>
          <w:sz w:val="21"/>
        </w:rPr>
        <w:t>Every authority business follows the same pattern: depth precedes width. The consultants who try to serve everyone serve no one at a price point worth serving. Roger's instinct to go deep on implant dentistry and family law before activating anything else is the correct strategic call — and here is the specific reason it matters:</w:t>
      </w:r>
    </w:p>
    <w:p w14:paraId="055AA875" w14:textId="77777777" w:rsidR="00740BC9" w:rsidRDefault="00000000">
      <w:pPr>
        <w:pStyle w:val="ListBullet"/>
        <w:spacing w:after="60"/>
        <w:ind w:left="288"/>
      </w:pPr>
      <w:r>
        <w:rPr>
          <w:rFonts w:ascii="Calibri" w:hAnsi="Calibri"/>
          <w:color w:val="333333"/>
          <w:sz w:val="21"/>
        </w:rPr>
        <w:t>Case studies are the only real sales asset in a premium service business. No case study = no social proof = longer sales cycle = lower close rate = lower price ceiling.</w:t>
      </w:r>
    </w:p>
    <w:p w14:paraId="01FD3599" w14:textId="77777777" w:rsidR="00740BC9" w:rsidRDefault="00000000">
      <w:pPr>
        <w:pStyle w:val="ListBullet"/>
        <w:spacing w:after="60"/>
        <w:ind w:left="288"/>
      </w:pPr>
      <w:r>
        <w:rPr>
          <w:rFonts w:ascii="Calibri" w:hAnsi="Calibri"/>
          <w:color w:val="333333"/>
          <w:sz w:val="21"/>
        </w:rPr>
        <w:t>Implant dentists and family law attorneys both operate in authority-driven buying environments. The client is making a high-trust, high-stakes decision. They need to see proof that you have done this for someone like them.</w:t>
      </w:r>
    </w:p>
    <w:p w14:paraId="69FDED0E" w14:textId="77777777" w:rsidR="00740BC9" w:rsidRDefault="00000000">
      <w:pPr>
        <w:pStyle w:val="ListBullet"/>
        <w:spacing w:after="60"/>
        <w:ind w:left="288"/>
      </w:pPr>
      <w:r>
        <w:rPr>
          <w:rFonts w:ascii="Calibri" w:hAnsi="Calibri"/>
          <w:color w:val="333333"/>
          <w:sz w:val="21"/>
        </w:rPr>
        <w:t>Two niches is not spreading thin — it is building parallel proof tracks. If one underperforms in the short term, the other carries momentum.</w:t>
      </w:r>
    </w:p>
    <w:p w14:paraId="4D7C2E23" w14:textId="77777777" w:rsidR="00740BC9" w:rsidRDefault="00740BC9">
      <w:pPr>
        <w:spacing w:after="120"/>
      </w:pPr>
    </w:p>
    <w:p w14:paraId="3002CEB4" w14:textId="77777777" w:rsidR="00740BC9" w:rsidRDefault="00000000">
      <w:pPr>
        <w:spacing w:before="200" w:after="40"/>
      </w:pPr>
      <w:r>
        <w:rPr>
          <w:rFonts w:ascii="Calibri" w:hAnsi="Calibri"/>
          <w:b/>
          <w:color w:val="25AAE1"/>
        </w:rPr>
        <w:t>The Authority Pricing Thesis — Confirmed</w:t>
      </w:r>
    </w:p>
    <w:p w14:paraId="76C0AEFF" w14:textId="77777777" w:rsidR="00740BC9" w:rsidRDefault="00000000">
      <w:pPr>
        <w:spacing w:after="120"/>
      </w:pPr>
      <w:r>
        <w:rPr>
          <w:rFonts w:ascii="Calibri" w:hAnsi="Calibri"/>
          <w:color w:val="333333"/>
          <w:sz w:val="21"/>
        </w:rPr>
        <w:t>Roger's stated reasoning — authority positioning enables higher price points because the client can charge more for the same outcomes — is not just intuition. It is documented market behavior. Here is the chain:</w:t>
      </w:r>
    </w:p>
    <w:p w14:paraId="59066425" w14:textId="77777777" w:rsidR="00740BC9" w:rsidRDefault="00000000">
      <w:pPr>
        <w:pStyle w:val="ListBullet"/>
        <w:spacing w:after="60"/>
        <w:ind w:left="288"/>
      </w:pPr>
      <w:r>
        <w:rPr>
          <w:rFonts w:ascii="Calibri" w:hAnsi="Calibri"/>
          <w:color w:val="333333"/>
          <w:sz w:val="21"/>
        </w:rPr>
        <w:t>Authority positioning increases the client's perceived value in their own market.</w:t>
      </w:r>
    </w:p>
    <w:p w14:paraId="653CD4DA" w14:textId="77777777" w:rsidR="00740BC9" w:rsidRDefault="00000000">
      <w:pPr>
        <w:pStyle w:val="ListBullet"/>
        <w:spacing w:after="60"/>
        <w:ind w:left="288"/>
      </w:pPr>
      <w:r>
        <w:rPr>
          <w:rFonts w:ascii="Calibri" w:hAnsi="Calibri"/>
          <w:color w:val="333333"/>
          <w:sz w:val="21"/>
        </w:rPr>
        <w:t>Higher perceived value = higher prices the client can charge.</w:t>
      </w:r>
    </w:p>
    <w:p w14:paraId="69BEA13C" w14:textId="77777777" w:rsidR="00740BC9" w:rsidRDefault="00000000">
      <w:pPr>
        <w:pStyle w:val="ListBullet"/>
        <w:spacing w:after="60"/>
        <w:ind w:left="288"/>
      </w:pPr>
      <w:r>
        <w:rPr>
          <w:rFonts w:ascii="Calibri" w:hAnsi="Calibri"/>
          <w:color w:val="333333"/>
          <w:sz w:val="21"/>
        </w:rPr>
        <w:t>Higher-priced clients attract better-fit patients/customers = lower churn, fewer complaints, more referrals.</w:t>
      </w:r>
    </w:p>
    <w:p w14:paraId="513C662B" w14:textId="77777777" w:rsidR="00740BC9" w:rsidRDefault="00000000">
      <w:pPr>
        <w:pStyle w:val="ListBullet"/>
        <w:spacing w:after="60"/>
        <w:ind w:left="288"/>
      </w:pPr>
      <w:r>
        <w:rPr>
          <w:rFonts w:ascii="Calibri" w:hAnsi="Calibri"/>
          <w:color w:val="333333"/>
          <w:sz w:val="21"/>
        </w:rPr>
        <w:t>A client who sees revenue growth attributes it to ASG. That is the case study. That is the renewal. That is the referral.</w:t>
      </w:r>
    </w:p>
    <w:p w14:paraId="152864A1" w14:textId="77777777" w:rsidR="00740BC9" w:rsidRDefault="00000000">
      <w:pPr>
        <w:pStyle w:val="ListBullet"/>
        <w:spacing w:after="60"/>
        <w:ind w:left="288"/>
      </w:pPr>
      <w:r>
        <w:rPr>
          <w:rFonts w:ascii="Calibri" w:hAnsi="Calibri"/>
          <w:color w:val="333333"/>
          <w:sz w:val="21"/>
        </w:rPr>
        <w:t>This flywheel is not accessible through generic SMB consulting at commodity price points.</w:t>
      </w:r>
    </w:p>
    <w:p w14:paraId="49A92245" w14:textId="77777777" w:rsidR="00740BC9" w:rsidRDefault="00740BC9">
      <w:pPr>
        <w:spacing w:after="120"/>
      </w:pPr>
    </w:p>
    <w:p w14:paraId="78948A3A" w14:textId="77777777" w:rsidR="00740BC9" w:rsidRDefault="00000000">
      <w:pPr>
        <w:spacing w:before="200" w:after="40"/>
      </w:pPr>
      <w:r>
        <w:rPr>
          <w:rFonts w:ascii="Calibri" w:hAnsi="Calibri"/>
          <w:b/>
          <w:color w:val="25AAE1"/>
        </w:rPr>
        <w:t>The Sequencing I Recommend</w:t>
      </w:r>
    </w:p>
    <w:tbl>
      <w:tblPr>
        <w:tblW w:w="0" w:type="auto"/>
        <w:tblLook w:val="04A0" w:firstRow="1" w:lastRow="0" w:firstColumn="1" w:lastColumn="0" w:noHBand="0" w:noVBand="1"/>
      </w:tblPr>
      <w:tblGrid>
        <w:gridCol w:w="3120"/>
        <w:gridCol w:w="3120"/>
        <w:gridCol w:w="3120"/>
      </w:tblGrid>
      <w:tr w:rsidR="00740BC9" w14:paraId="191EC59F" w14:textId="77777777">
        <w:tc>
          <w:tcPr>
            <w:tcW w:w="3120" w:type="dxa"/>
            <w:shd w:val="clear" w:color="auto" w:fill="1A2533"/>
          </w:tcPr>
          <w:p w14:paraId="7587D91D" w14:textId="77777777" w:rsidR="00740BC9" w:rsidRDefault="00000000">
            <w:pPr>
              <w:spacing w:before="80" w:after="80"/>
            </w:pPr>
            <w:r>
              <w:rPr>
                <w:rFonts w:ascii="Calibri" w:hAnsi="Calibri"/>
                <w:b/>
                <w:color w:val="FFFFFF"/>
                <w:sz w:val="18"/>
              </w:rPr>
              <w:t xml:space="preserve">  Phase</w:t>
            </w:r>
          </w:p>
        </w:tc>
        <w:tc>
          <w:tcPr>
            <w:tcW w:w="3120" w:type="dxa"/>
            <w:shd w:val="clear" w:color="auto" w:fill="1A2533"/>
          </w:tcPr>
          <w:p w14:paraId="77A12C16" w14:textId="77777777" w:rsidR="00740BC9" w:rsidRDefault="00000000">
            <w:pPr>
              <w:spacing w:before="80" w:after="80"/>
            </w:pPr>
            <w:r>
              <w:rPr>
                <w:rFonts w:ascii="Calibri" w:hAnsi="Calibri"/>
                <w:b/>
                <w:color w:val="FFFFFF"/>
                <w:sz w:val="18"/>
              </w:rPr>
              <w:t>Timeline</w:t>
            </w:r>
          </w:p>
        </w:tc>
        <w:tc>
          <w:tcPr>
            <w:tcW w:w="3120" w:type="dxa"/>
            <w:shd w:val="clear" w:color="auto" w:fill="1A2533"/>
          </w:tcPr>
          <w:p w14:paraId="7D254040" w14:textId="77777777" w:rsidR="00740BC9" w:rsidRDefault="00000000">
            <w:pPr>
              <w:spacing w:before="80" w:after="80"/>
            </w:pPr>
            <w:r>
              <w:rPr>
                <w:rFonts w:ascii="Calibri" w:hAnsi="Calibri"/>
                <w:b/>
                <w:color w:val="FFFFFF"/>
                <w:sz w:val="18"/>
              </w:rPr>
              <w:t>Priority Action</w:t>
            </w:r>
          </w:p>
        </w:tc>
      </w:tr>
      <w:tr w:rsidR="00740BC9" w14:paraId="6D75F6C8" w14:textId="77777777">
        <w:tc>
          <w:tcPr>
            <w:tcW w:w="3120" w:type="dxa"/>
            <w:shd w:val="clear" w:color="auto" w:fill="EAF6FC"/>
          </w:tcPr>
          <w:p w14:paraId="4C902DAB" w14:textId="77777777" w:rsidR="00740BC9" w:rsidRDefault="00000000">
            <w:pPr>
              <w:spacing w:before="80" w:after="80"/>
            </w:pPr>
            <w:r>
              <w:rPr>
                <w:rFonts w:ascii="Calibri" w:hAnsi="Calibri"/>
                <w:b/>
                <w:color w:val="25AAE1"/>
                <w:sz w:val="20"/>
              </w:rPr>
              <w:t xml:space="preserve">  1</w:t>
            </w:r>
          </w:p>
        </w:tc>
        <w:tc>
          <w:tcPr>
            <w:tcW w:w="3120" w:type="dxa"/>
            <w:shd w:val="clear" w:color="auto" w:fill="EAF6FC"/>
          </w:tcPr>
          <w:p w14:paraId="5234C8D8" w14:textId="77777777" w:rsidR="00740BC9" w:rsidRDefault="00000000">
            <w:pPr>
              <w:spacing w:before="80" w:after="80"/>
            </w:pPr>
            <w:r>
              <w:rPr>
                <w:rFonts w:ascii="Calibri" w:hAnsi="Calibri"/>
                <w:b/>
                <w:color w:val="333333"/>
                <w:sz w:val="19"/>
              </w:rPr>
              <w:t>Now — 90 days</w:t>
            </w:r>
          </w:p>
        </w:tc>
        <w:tc>
          <w:tcPr>
            <w:tcW w:w="3120" w:type="dxa"/>
            <w:shd w:val="clear" w:color="auto" w:fill="EAF6FC"/>
          </w:tcPr>
          <w:p w14:paraId="4E09EA7F" w14:textId="77777777" w:rsidR="00740BC9" w:rsidRDefault="00000000">
            <w:pPr>
              <w:spacing w:before="80" w:after="80"/>
            </w:pPr>
            <w:r>
              <w:rPr>
                <w:rFonts w:ascii="Calibri" w:hAnsi="Calibri"/>
                <w:color w:val="333333"/>
                <w:sz w:val="19"/>
              </w:rPr>
              <w:t>Land 1–2 clients each in DMA (implant) and LGD (family law). Deliver Authority Blueprint for each. Begin content delivery.</w:t>
            </w:r>
          </w:p>
        </w:tc>
      </w:tr>
      <w:tr w:rsidR="00740BC9" w14:paraId="4686974F" w14:textId="77777777">
        <w:tc>
          <w:tcPr>
            <w:tcW w:w="3120" w:type="dxa"/>
            <w:shd w:val="clear" w:color="auto" w:fill="FFFFFF"/>
          </w:tcPr>
          <w:p w14:paraId="61893F08" w14:textId="77777777" w:rsidR="00740BC9" w:rsidRDefault="00000000">
            <w:pPr>
              <w:spacing w:before="80" w:after="80"/>
            </w:pPr>
            <w:r>
              <w:rPr>
                <w:rFonts w:ascii="Calibri" w:hAnsi="Calibri"/>
                <w:b/>
                <w:color w:val="25AAE1"/>
                <w:sz w:val="20"/>
              </w:rPr>
              <w:lastRenderedPageBreak/>
              <w:t xml:space="preserve">  2</w:t>
            </w:r>
          </w:p>
        </w:tc>
        <w:tc>
          <w:tcPr>
            <w:tcW w:w="3120" w:type="dxa"/>
            <w:shd w:val="clear" w:color="auto" w:fill="FFFFFF"/>
          </w:tcPr>
          <w:p w14:paraId="6943F0CB" w14:textId="77777777" w:rsidR="00740BC9" w:rsidRDefault="00000000">
            <w:pPr>
              <w:spacing w:before="80" w:after="80"/>
            </w:pPr>
            <w:r>
              <w:rPr>
                <w:rFonts w:ascii="Calibri" w:hAnsi="Calibri"/>
                <w:b/>
                <w:color w:val="333333"/>
                <w:sz w:val="19"/>
              </w:rPr>
              <w:t>90–180 days</w:t>
            </w:r>
          </w:p>
        </w:tc>
        <w:tc>
          <w:tcPr>
            <w:tcW w:w="3120" w:type="dxa"/>
            <w:shd w:val="clear" w:color="auto" w:fill="FFFFFF"/>
          </w:tcPr>
          <w:p w14:paraId="6E79823F" w14:textId="77777777" w:rsidR="00740BC9" w:rsidRDefault="00000000">
            <w:pPr>
              <w:spacing w:before="80" w:after="80"/>
            </w:pPr>
            <w:r>
              <w:rPr>
                <w:rFonts w:ascii="Calibri" w:hAnsi="Calibri"/>
                <w:color w:val="333333"/>
                <w:sz w:val="19"/>
              </w:rPr>
              <w:t>Document first case studies. Build referral system within each niche. Raise price floor on new engagements.</w:t>
            </w:r>
          </w:p>
        </w:tc>
      </w:tr>
      <w:tr w:rsidR="00740BC9" w14:paraId="26EA7444" w14:textId="77777777">
        <w:tc>
          <w:tcPr>
            <w:tcW w:w="3120" w:type="dxa"/>
            <w:shd w:val="clear" w:color="auto" w:fill="EAF6FC"/>
          </w:tcPr>
          <w:p w14:paraId="3467853F" w14:textId="77777777" w:rsidR="00740BC9" w:rsidRDefault="00000000">
            <w:pPr>
              <w:spacing w:before="80" w:after="80"/>
            </w:pPr>
            <w:r>
              <w:rPr>
                <w:rFonts w:ascii="Calibri" w:hAnsi="Calibri"/>
                <w:b/>
                <w:color w:val="25AAE1"/>
                <w:sz w:val="20"/>
              </w:rPr>
              <w:t xml:space="preserve">  3</w:t>
            </w:r>
          </w:p>
        </w:tc>
        <w:tc>
          <w:tcPr>
            <w:tcW w:w="3120" w:type="dxa"/>
            <w:shd w:val="clear" w:color="auto" w:fill="EAF6FC"/>
          </w:tcPr>
          <w:p w14:paraId="026F89AC" w14:textId="77777777" w:rsidR="00740BC9" w:rsidRDefault="00000000">
            <w:pPr>
              <w:spacing w:before="80" w:after="80"/>
            </w:pPr>
            <w:r>
              <w:rPr>
                <w:rFonts w:ascii="Calibri" w:hAnsi="Calibri"/>
                <w:b/>
                <w:color w:val="333333"/>
                <w:sz w:val="19"/>
              </w:rPr>
              <w:t>180–365 days</w:t>
            </w:r>
          </w:p>
        </w:tc>
        <w:tc>
          <w:tcPr>
            <w:tcW w:w="3120" w:type="dxa"/>
            <w:shd w:val="clear" w:color="auto" w:fill="EAF6FC"/>
          </w:tcPr>
          <w:p w14:paraId="0C013F6A" w14:textId="77777777" w:rsidR="00740BC9" w:rsidRDefault="00000000">
            <w:pPr>
              <w:spacing w:before="80" w:after="80"/>
            </w:pPr>
            <w:r>
              <w:rPr>
                <w:rFonts w:ascii="Calibri" w:hAnsi="Calibri"/>
                <w:color w:val="333333"/>
                <w:sz w:val="19"/>
              </w:rPr>
              <w:t>Evaluate which niche is producing faster/easier revenue. Begin hiring one person (integrator or content support) in that niche.</w:t>
            </w:r>
          </w:p>
        </w:tc>
      </w:tr>
      <w:tr w:rsidR="00740BC9" w14:paraId="0A3CE9A6" w14:textId="77777777">
        <w:tc>
          <w:tcPr>
            <w:tcW w:w="3120" w:type="dxa"/>
            <w:shd w:val="clear" w:color="auto" w:fill="FFFFFF"/>
          </w:tcPr>
          <w:p w14:paraId="0B7B2C5D" w14:textId="77777777" w:rsidR="00740BC9" w:rsidRDefault="00000000">
            <w:pPr>
              <w:spacing w:before="80" w:after="80"/>
            </w:pPr>
            <w:r>
              <w:rPr>
                <w:rFonts w:ascii="Calibri" w:hAnsi="Calibri"/>
                <w:b/>
                <w:color w:val="25AAE1"/>
                <w:sz w:val="20"/>
              </w:rPr>
              <w:t xml:space="preserve">  4</w:t>
            </w:r>
          </w:p>
        </w:tc>
        <w:tc>
          <w:tcPr>
            <w:tcW w:w="3120" w:type="dxa"/>
            <w:shd w:val="clear" w:color="auto" w:fill="FFFFFF"/>
          </w:tcPr>
          <w:p w14:paraId="0F61A3F2" w14:textId="77777777" w:rsidR="00740BC9" w:rsidRDefault="00000000">
            <w:pPr>
              <w:spacing w:before="80" w:after="80"/>
            </w:pPr>
            <w:r>
              <w:rPr>
                <w:rFonts w:ascii="Calibri" w:hAnsi="Calibri"/>
                <w:b/>
                <w:color w:val="333333"/>
                <w:sz w:val="19"/>
              </w:rPr>
              <w:t>Year 2</w:t>
            </w:r>
          </w:p>
        </w:tc>
        <w:tc>
          <w:tcPr>
            <w:tcW w:w="3120" w:type="dxa"/>
            <w:shd w:val="clear" w:color="auto" w:fill="FFFFFF"/>
          </w:tcPr>
          <w:p w14:paraId="2FDB46EE" w14:textId="77777777" w:rsidR="00740BC9" w:rsidRDefault="00000000">
            <w:pPr>
              <w:spacing w:before="80" w:after="80"/>
            </w:pPr>
            <w:r>
              <w:rPr>
                <w:rFonts w:ascii="Calibri" w:hAnsi="Calibri"/>
                <w:color w:val="333333"/>
                <w:sz w:val="19"/>
              </w:rPr>
              <w:t>Activate x2 Sales and/or LCS using proof from Phase 1–3. GHL rebrand as ASG delivery infrastructure. Systematize.</w:t>
            </w:r>
          </w:p>
        </w:tc>
      </w:tr>
    </w:tbl>
    <w:p w14:paraId="5DDC4495" w14:textId="77777777" w:rsidR="00740BC9" w:rsidRDefault="00740BC9">
      <w:pPr>
        <w:spacing w:after="240"/>
      </w:pPr>
    </w:p>
    <w:p w14:paraId="663FDDF5" w14:textId="77777777" w:rsidR="00740BC9" w:rsidRDefault="00000000">
      <w:pPr>
        <w:spacing w:after="120"/>
      </w:pPr>
      <w:r>
        <w:rPr>
          <w:rFonts w:ascii="Calibri" w:hAnsi="Calibri"/>
          <w:i/>
          <w:color w:val="58585A"/>
          <w:sz w:val="21"/>
        </w:rPr>
        <w:t>The businesses that are deferred are not abandoned — they are protected. Every hour Roger spends on a Tier 2 business before Tier 1 has paying clients is an hour that delays the proof that makes everything else easier to sell.</w:t>
      </w:r>
    </w:p>
    <w:p w14:paraId="3B32EFA6" w14:textId="77777777" w:rsidR="00740BC9" w:rsidRDefault="00000000">
      <w:r>
        <w:br w:type="page"/>
      </w:r>
    </w:p>
    <w:p w14:paraId="2C207F82" w14:textId="77777777" w:rsidR="00740BC9" w:rsidRDefault="00000000">
      <w:pPr>
        <w:shd w:val="clear" w:color="auto" w:fill="1A2533"/>
        <w:spacing w:before="80" w:after="0"/>
      </w:pPr>
      <w:r>
        <w:rPr>
          <w:rFonts w:ascii="Calibri" w:hAnsi="Calibri"/>
          <w:b/>
          <w:color w:val="FFFFFF"/>
          <w:sz w:val="26"/>
        </w:rPr>
        <w:lastRenderedPageBreak/>
        <w:t xml:space="preserve">  03 — FASTEST PATH TO REVENUE  |  Tanya Blackwood, CRO  </w:t>
      </w:r>
    </w:p>
    <w:p w14:paraId="75C86DA6" w14:textId="77777777" w:rsidR="00740BC9" w:rsidRDefault="00740BC9">
      <w:pPr>
        <w:spacing w:after="160"/>
      </w:pPr>
    </w:p>
    <w:p w14:paraId="252367D3" w14:textId="77777777" w:rsidR="00740BC9" w:rsidRDefault="00000000">
      <w:pPr>
        <w:spacing w:after="240"/>
      </w:pPr>
      <w:r>
        <w:rPr>
          <w:rFonts w:ascii="Calibri" w:hAnsi="Calibri"/>
          <w:color w:val="333333"/>
          <w:sz w:val="21"/>
        </w:rPr>
        <w:t>Roger asked where to monetize fastest. Here is the honest answer: the fastest path to revenue in a professional services authority model is not a funnel. It is a conversation. Below are the three revenue levers I recommend activating immediately, in priority order.</w:t>
      </w:r>
    </w:p>
    <w:tbl>
      <w:tblPr>
        <w:tblW w:w="0" w:type="auto"/>
        <w:tblLook w:val="04A0" w:firstRow="1" w:lastRow="0" w:firstColumn="1" w:lastColumn="0" w:noHBand="0" w:noVBand="1"/>
      </w:tblPr>
      <w:tblGrid>
        <w:gridCol w:w="4680"/>
        <w:gridCol w:w="4680"/>
      </w:tblGrid>
      <w:tr w:rsidR="00740BC9" w14:paraId="68DEA52D" w14:textId="77777777">
        <w:tc>
          <w:tcPr>
            <w:tcW w:w="4680" w:type="dxa"/>
            <w:shd w:val="clear" w:color="auto" w:fill="27AE60"/>
          </w:tcPr>
          <w:p w14:paraId="5A52E07E" w14:textId="77777777" w:rsidR="00740BC9" w:rsidRDefault="00000000">
            <w:pPr>
              <w:spacing w:before="120" w:after="120"/>
              <w:jc w:val="center"/>
            </w:pPr>
            <w:r>
              <w:rPr>
                <w:rFonts w:ascii="Calibri" w:hAnsi="Calibri"/>
                <w:b/>
                <w:color w:val="FFFFFF"/>
                <w:sz w:val="28"/>
              </w:rPr>
              <w:t>01</w:t>
            </w:r>
          </w:p>
        </w:tc>
        <w:tc>
          <w:tcPr>
            <w:tcW w:w="4680" w:type="dxa"/>
            <w:shd w:val="clear" w:color="auto" w:fill="2C3E50"/>
          </w:tcPr>
          <w:p w14:paraId="387B2F9E" w14:textId="77777777" w:rsidR="00740BC9" w:rsidRDefault="00000000">
            <w:pPr>
              <w:spacing w:before="120" w:after="120"/>
            </w:pPr>
            <w:r>
              <w:rPr>
                <w:rFonts w:ascii="Calibri" w:hAnsi="Calibri"/>
                <w:b/>
                <w:color w:val="FFFFFF"/>
              </w:rPr>
              <w:t>The Warm Outreach Sprint (This Week)</w:t>
            </w:r>
          </w:p>
        </w:tc>
      </w:tr>
    </w:tbl>
    <w:p w14:paraId="407394F3" w14:textId="77777777" w:rsidR="00740BC9" w:rsidRDefault="00000000">
      <w:pPr>
        <w:spacing w:after="120"/>
      </w:pPr>
      <w:r>
        <w:rPr>
          <w:rFonts w:ascii="Calibri" w:hAnsi="Calibri"/>
          <w:color w:val="333333"/>
          <w:sz w:val="21"/>
        </w:rPr>
        <w:t>Roger has an existing network — former clients, colleagues, referral sources, and professionals he has interacted with across his career. This is the lowest-cost, highest-probability first-revenue source available.</w:t>
      </w:r>
    </w:p>
    <w:p w14:paraId="2D2613CF" w14:textId="77777777" w:rsidR="00740BC9" w:rsidRDefault="00000000">
      <w:pPr>
        <w:pStyle w:val="ListBullet"/>
        <w:spacing w:after="60"/>
        <w:ind w:left="288"/>
      </w:pPr>
      <w:r>
        <w:rPr>
          <w:rFonts w:ascii="Calibri" w:hAnsi="Calibri"/>
          <w:color w:val="333333"/>
          <w:sz w:val="21"/>
        </w:rPr>
        <w:t>Identify 10–15 implant-focused dentists and 10–15 family law attorneys in Roger's existing network or connections.</w:t>
      </w:r>
    </w:p>
    <w:p w14:paraId="28D2A466" w14:textId="77777777" w:rsidR="00740BC9" w:rsidRDefault="00000000">
      <w:pPr>
        <w:pStyle w:val="ListBullet"/>
        <w:spacing w:after="60"/>
        <w:ind w:left="288"/>
      </w:pPr>
      <w:r>
        <w:rPr>
          <w:rFonts w:ascii="Calibri" w:hAnsi="Calibri"/>
          <w:color w:val="333333"/>
          <w:sz w:val="21"/>
        </w:rPr>
        <w:t>Send a direct, non-pitchy outreach message: "I'm doing a limited number of free digital authority assessments for [niche] practices this month. Interested?" — no sales page, no funnel, just a direct conversation.</w:t>
      </w:r>
    </w:p>
    <w:p w14:paraId="33F9995F" w14:textId="77777777" w:rsidR="00740BC9" w:rsidRDefault="00000000">
      <w:pPr>
        <w:pStyle w:val="ListBullet"/>
        <w:spacing w:after="60"/>
        <w:ind w:left="288"/>
      </w:pPr>
      <w:r>
        <w:rPr>
          <w:rFonts w:ascii="Calibri" w:hAnsi="Calibri"/>
          <w:color w:val="333333"/>
          <w:sz w:val="21"/>
        </w:rPr>
        <w:t>From those conversations, close 1–2 paid Authority Blueprint engagements. One from DMA, one from LGD.</w:t>
      </w:r>
    </w:p>
    <w:p w14:paraId="097DB3D2" w14:textId="77777777" w:rsidR="00740BC9" w:rsidRDefault="00000000">
      <w:pPr>
        <w:pStyle w:val="ListBullet"/>
        <w:spacing w:after="60"/>
        <w:ind w:left="288"/>
      </w:pPr>
      <w:r>
        <w:rPr>
          <w:rFonts w:ascii="Calibri" w:hAnsi="Calibri"/>
          <w:color w:val="333333"/>
          <w:sz w:val="21"/>
        </w:rPr>
        <w:t>Price the Authority Blueprint at no less than $2,500 for the initial engagement. Do not undervalue the entry point.</w:t>
      </w:r>
    </w:p>
    <w:p w14:paraId="36683EC1" w14:textId="77777777" w:rsidR="00740BC9" w:rsidRDefault="00000000">
      <w:pPr>
        <w:shd w:val="clear" w:color="auto" w:fill="EAF6FC"/>
        <w:spacing w:before="80" w:after="80"/>
      </w:pPr>
      <w:r>
        <w:rPr>
          <w:rFonts w:ascii="Calibri" w:hAnsi="Calibri"/>
          <w:b/>
          <w:color w:val="58585A"/>
          <w:sz w:val="19"/>
        </w:rPr>
        <w:t xml:space="preserve">  Timeline: </w:t>
      </w:r>
      <w:r>
        <w:rPr>
          <w:rFonts w:ascii="Calibri" w:hAnsi="Calibri"/>
          <w:color w:val="333333"/>
          <w:sz w:val="19"/>
        </w:rPr>
        <w:t>7–14 days to first conversation. 14–30 days to first paid engagement.</w:t>
      </w:r>
    </w:p>
    <w:p w14:paraId="583C462F" w14:textId="77777777" w:rsidR="00740BC9" w:rsidRDefault="00740BC9"/>
    <w:tbl>
      <w:tblPr>
        <w:tblW w:w="0" w:type="auto"/>
        <w:tblLook w:val="04A0" w:firstRow="1" w:lastRow="0" w:firstColumn="1" w:lastColumn="0" w:noHBand="0" w:noVBand="1"/>
      </w:tblPr>
      <w:tblGrid>
        <w:gridCol w:w="4680"/>
        <w:gridCol w:w="4680"/>
      </w:tblGrid>
      <w:tr w:rsidR="00740BC9" w14:paraId="36D937C1" w14:textId="77777777">
        <w:tc>
          <w:tcPr>
            <w:tcW w:w="4680" w:type="dxa"/>
            <w:shd w:val="clear" w:color="auto" w:fill="25AAE1"/>
          </w:tcPr>
          <w:p w14:paraId="1B5D4B46" w14:textId="77777777" w:rsidR="00740BC9" w:rsidRDefault="00000000">
            <w:pPr>
              <w:spacing w:before="120" w:after="120"/>
              <w:jc w:val="center"/>
            </w:pPr>
            <w:r>
              <w:rPr>
                <w:rFonts w:ascii="Calibri" w:hAnsi="Calibri"/>
                <w:b/>
                <w:color w:val="FFFFFF"/>
                <w:sz w:val="28"/>
              </w:rPr>
              <w:t>02</w:t>
            </w:r>
          </w:p>
        </w:tc>
        <w:tc>
          <w:tcPr>
            <w:tcW w:w="4680" w:type="dxa"/>
            <w:shd w:val="clear" w:color="auto" w:fill="2C3E50"/>
          </w:tcPr>
          <w:p w14:paraId="651D79DE" w14:textId="77777777" w:rsidR="00740BC9" w:rsidRDefault="00000000">
            <w:pPr>
              <w:spacing w:before="120" w:after="120"/>
            </w:pPr>
            <w:r>
              <w:rPr>
                <w:rFonts w:ascii="Calibri" w:hAnsi="Calibri"/>
                <w:b/>
                <w:color w:val="FFFFFF"/>
              </w:rPr>
              <w:t>The Free Audit Lead Generator (30–60 Days)</w:t>
            </w:r>
          </w:p>
        </w:tc>
      </w:tr>
    </w:tbl>
    <w:p w14:paraId="463CB57D" w14:textId="77777777" w:rsidR="00740BC9" w:rsidRDefault="00000000">
      <w:pPr>
        <w:spacing w:after="120"/>
      </w:pPr>
      <w:r>
        <w:rPr>
          <w:rFonts w:ascii="Calibri" w:hAnsi="Calibri"/>
          <w:color w:val="333333"/>
          <w:sz w:val="21"/>
        </w:rPr>
        <w:t>The Digital Authority Assessment is the most powerful prospecting tool in the ASG system. It delivers real value before any money changes hands, positions Roger as the expert, and creates a natural transition to a paid engagement conversation. Run one free audit per week for implant dentists and family law attorneys.</w:t>
      </w:r>
    </w:p>
    <w:p w14:paraId="220B561A" w14:textId="77777777" w:rsidR="00740BC9" w:rsidRDefault="00000000">
      <w:pPr>
        <w:pStyle w:val="ListBullet"/>
        <w:spacing w:after="60"/>
        <w:ind w:left="288"/>
      </w:pPr>
      <w:r>
        <w:rPr>
          <w:rFonts w:ascii="Calibri" w:hAnsi="Calibri"/>
          <w:color w:val="333333"/>
          <w:sz w:val="21"/>
        </w:rPr>
        <w:t>Select one target practice per week from LinkedIn, Google search, or a Dream 100 list.</w:t>
      </w:r>
    </w:p>
    <w:p w14:paraId="27F2E72F" w14:textId="77777777" w:rsidR="00740BC9" w:rsidRDefault="00000000">
      <w:pPr>
        <w:pStyle w:val="ListBullet"/>
        <w:spacing w:after="60"/>
        <w:ind w:left="288"/>
      </w:pPr>
      <w:r>
        <w:rPr>
          <w:rFonts w:ascii="Calibri" w:hAnsi="Calibri"/>
          <w:color w:val="333333"/>
          <w:sz w:val="21"/>
        </w:rPr>
        <w:t>Run the full 13-dimension Digital Authority Assessment (Victor Shaw's team).</w:t>
      </w:r>
    </w:p>
    <w:p w14:paraId="2C9BB158" w14:textId="77777777" w:rsidR="00740BC9" w:rsidRDefault="00000000">
      <w:pPr>
        <w:pStyle w:val="ListBullet"/>
        <w:spacing w:after="60"/>
        <w:ind w:left="288"/>
      </w:pPr>
      <w:r>
        <w:rPr>
          <w:rFonts w:ascii="Calibri" w:hAnsi="Calibri"/>
          <w:color w:val="333333"/>
          <w:sz w:val="21"/>
        </w:rPr>
        <w:t>Deliver the report with a brief cover note from Roger — no hard pitch, just: "Here's what I found. Happy to walk you through it."</w:t>
      </w:r>
    </w:p>
    <w:p w14:paraId="6BEF4A71" w14:textId="77777777" w:rsidR="00740BC9" w:rsidRDefault="00000000">
      <w:pPr>
        <w:pStyle w:val="ListBullet"/>
        <w:spacing w:after="60"/>
        <w:ind w:left="288"/>
      </w:pPr>
      <w:r>
        <w:rPr>
          <w:rFonts w:ascii="Calibri" w:hAnsi="Calibri"/>
          <w:color w:val="333333"/>
          <w:sz w:val="21"/>
        </w:rPr>
        <w:t>The walkthrough call IS the sales call. Let the report do the work.</w:t>
      </w:r>
    </w:p>
    <w:p w14:paraId="5607CA35" w14:textId="77777777" w:rsidR="00740BC9" w:rsidRDefault="00000000">
      <w:pPr>
        <w:pStyle w:val="ListBullet"/>
        <w:spacing w:after="60"/>
        <w:ind w:left="288"/>
      </w:pPr>
      <w:r>
        <w:rPr>
          <w:rFonts w:ascii="Calibri" w:hAnsi="Calibri"/>
          <w:color w:val="333333"/>
          <w:sz w:val="21"/>
        </w:rPr>
        <w:t>Convert at least 1 in 5 walkthrough calls to a paid Authority Blueprint engagement.</w:t>
      </w:r>
    </w:p>
    <w:p w14:paraId="03E54885" w14:textId="77777777" w:rsidR="00740BC9" w:rsidRDefault="00000000">
      <w:pPr>
        <w:shd w:val="clear" w:color="auto" w:fill="EAF6FC"/>
        <w:spacing w:before="80" w:after="80"/>
      </w:pPr>
      <w:r>
        <w:rPr>
          <w:rFonts w:ascii="Calibri" w:hAnsi="Calibri"/>
          <w:b/>
          <w:color w:val="58585A"/>
          <w:sz w:val="19"/>
        </w:rPr>
        <w:t xml:space="preserve">  Timeline: </w:t>
      </w:r>
      <w:r>
        <w:rPr>
          <w:rFonts w:ascii="Calibri" w:hAnsi="Calibri"/>
          <w:color w:val="333333"/>
          <w:sz w:val="19"/>
        </w:rPr>
        <w:t>First audit delivered in Week 2. First conversion expected by Week 6.</w:t>
      </w:r>
    </w:p>
    <w:p w14:paraId="0E1BD410" w14:textId="77777777" w:rsidR="00740BC9" w:rsidRDefault="00740BC9"/>
    <w:tbl>
      <w:tblPr>
        <w:tblW w:w="0" w:type="auto"/>
        <w:tblLook w:val="04A0" w:firstRow="1" w:lastRow="0" w:firstColumn="1" w:lastColumn="0" w:noHBand="0" w:noVBand="1"/>
      </w:tblPr>
      <w:tblGrid>
        <w:gridCol w:w="4680"/>
        <w:gridCol w:w="4680"/>
      </w:tblGrid>
      <w:tr w:rsidR="00740BC9" w14:paraId="6C86B057" w14:textId="77777777">
        <w:tc>
          <w:tcPr>
            <w:tcW w:w="4680" w:type="dxa"/>
            <w:shd w:val="clear" w:color="auto" w:fill="58585A"/>
          </w:tcPr>
          <w:p w14:paraId="5CA310B3" w14:textId="77777777" w:rsidR="00740BC9" w:rsidRDefault="00000000">
            <w:pPr>
              <w:spacing w:before="120" w:after="120"/>
              <w:jc w:val="center"/>
            </w:pPr>
            <w:r>
              <w:rPr>
                <w:rFonts w:ascii="Calibri" w:hAnsi="Calibri"/>
                <w:b/>
                <w:color w:val="FFFFFF"/>
                <w:sz w:val="28"/>
              </w:rPr>
              <w:lastRenderedPageBreak/>
              <w:t>03</w:t>
            </w:r>
          </w:p>
        </w:tc>
        <w:tc>
          <w:tcPr>
            <w:tcW w:w="4680" w:type="dxa"/>
            <w:shd w:val="clear" w:color="auto" w:fill="2C3E50"/>
          </w:tcPr>
          <w:p w14:paraId="76C48747" w14:textId="77777777" w:rsidR="00740BC9" w:rsidRDefault="00000000">
            <w:pPr>
              <w:spacing w:before="120" w:after="120"/>
            </w:pPr>
            <w:r>
              <w:rPr>
                <w:rFonts w:ascii="Calibri" w:hAnsi="Calibri"/>
                <w:b/>
                <w:color w:val="FFFFFF"/>
              </w:rPr>
              <w:t>Content Authority Engine (60–90 Days)</w:t>
            </w:r>
          </w:p>
        </w:tc>
      </w:tr>
    </w:tbl>
    <w:p w14:paraId="0627FC0F" w14:textId="77777777" w:rsidR="00740BC9" w:rsidRDefault="00000000">
      <w:pPr>
        <w:spacing w:after="120"/>
      </w:pPr>
      <w:r>
        <w:rPr>
          <w:rFonts w:ascii="Calibri" w:hAnsi="Calibri"/>
          <w:color w:val="333333"/>
          <w:sz w:val="21"/>
        </w:rPr>
        <w:t>While warm outreach and free audits generate near-term revenue, the content system builds the inbound pipeline that makes the business self-sustaining. Blog content, LinkedIn, and YouTube scripts are already being produced. The goal now is to get them published and indexed.</w:t>
      </w:r>
    </w:p>
    <w:p w14:paraId="46FD8811" w14:textId="77777777" w:rsidR="00740BC9" w:rsidRDefault="00000000">
      <w:pPr>
        <w:pStyle w:val="ListBullet"/>
        <w:spacing w:after="60"/>
        <w:ind w:left="288"/>
      </w:pPr>
      <w:r>
        <w:rPr>
          <w:rFonts w:ascii="Calibri" w:hAnsi="Calibri"/>
          <w:color w:val="333333"/>
          <w:sz w:val="21"/>
        </w:rPr>
        <w:t>Publish the April 2026 blog articles to DMA's website (or a landing page if site is not yet live). Prioritize the 4 pillar pieces first.</w:t>
      </w:r>
    </w:p>
    <w:p w14:paraId="0759CBFF" w14:textId="77777777" w:rsidR="00740BC9" w:rsidRDefault="00000000">
      <w:pPr>
        <w:pStyle w:val="ListBullet"/>
        <w:spacing w:after="60"/>
        <w:ind w:left="288"/>
      </w:pPr>
      <w:r>
        <w:rPr>
          <w:rFonts w:ascii="Calibri" w:hAnsi="Calibri"/>
          <w:color w:val="333333"/>
          <w:sz w:val="21"/>
        </w:rPr>
        <w:t>Post LinkedIn content 3–5x per week targeting each niche. Use the existing content packs for LGD; produce DMA LinkedIn pack next.</w:t>
      </w:r>
    </w:p>
    <w:p w14:paraId="1AF3A49F" w14:textId="77777777" w:rsidR="00740BC9" w:rsidRDefault="00000000">
      <w:pPr>
        <w:pStyle w:val="ListBullet"/>
        <w:spacing w:after="60"/>
        <w:ind w:left="288"/>
      </w:pPr>
      <w:r>
        <w:rPr>
          <w:rFonts w:ascii="Calibri" w:hAnsi="Calibri"/>
          <w:color w:val="333333"/>
          <w:sz w:val="21"/>
        </w:rPr>
        <w:t>Begin building the LGD and DMA YouTube channels. Short-form to start — 60–90 second clips cut from pillar blog content.</w:t>
      </w:r>
    </w:p>
    <w:p w14:paraId="0FFF16F8" w14:textId="77777777" w:rsidR="00740BC9" w:rsidRDefault="00000000">
      <w:pPr>
        <w:pStyle w:val="ListBullet"/>
        <w:spacing w:after="60"/>
        <w:ind w:left="288"/>
      </w:pPr>
      <w:r>
        <w:rPr>
          <w:rFonts w:ascii="Calibri" w:hAnsi="Calibri"/>
          <w:color w:val="333333"/>
          <w:sz w:val="21"/>
        </w:rPr>
        <w:t>Track which content drives profile views and inbound inquiries. Double down on what moves.</w:t>
      </w:r>
    </w:p>
    <w:p w14:paraId="4820EC34" w14:textId="77777777" w:rsidR="00740BC9" w:rsidRDefault="00000000">
      <w:pPr>
        <w:shd w:val="clear" w:color="auto" w:fill="EAF6FC"/>
        <w:spacing w:before="80" w:after="80"/>
      </w:pPr>
      <w:r>
        <w:rPr>
          <w:rFonts w:ascii="Calibri" w:hAnsi="Calibri"/>
          <w:b/>
          <w:color w:val="58585A"/>
          <w:sz w:val="19"/>
        </w:rPr>
        <w:t xml:space="preserve">  Timeline: </w:t>
      </w:r>
      <w:r>
        <w:rPr>
          <w:rFonts w:ascii="Calibri" w:hAnsi="Calibri"/>
          <w:color w:val="333333"/>
          <w:sz w:val="19"/>
        </w:rPr>
        <w:t>First content live in Week 1–2. Inbound leads begin appearing by Month 2–3.</w:t>
      </w:r>
    </w:p>
    <w:p w14:paraId="32126500" w14:textId="77777777" w:rsidR="00740BC9" w:rsidRDefault="00740BC9"/>
    <w:p w14:paraId="06B9903D" w14:textId="77777777" w:rsidR="00740BC9" w:rsidRDefault="00000000">
      <w:r>
        <w:br w:type="page"/>
      </w:r>
    </w:p>
    <w:p w14:paraId="17DF2278" w14:textId="77777777" w:rsidR="00740BC9" w:rsidRDefault="00000000">
      <w:pPr>
        <w:shd w:val="clear" w:color="auto" w:fill="1A2533"/>
        <w:spacing w:before="80" w:after="0"/>
      </w:pPr>
      <w:r>
        <w:rPr>
          <w:rFonts w:ascii="Calibri" w:hAnsi="Calibri"/>
          <w:b/>
          <w:color w:val="FFFFFF"/>
          <w:sz w:val="26"/>
        </w:rPr>
        <w:lastRenderedPageBreak/>
        <w:t xml:space="preserve">  04 — SHORT-TERM FOCUS PLAN  |  Preston Adler, COO  </w:t>
      </w:r>
    </w:p>
    <w:p w14:paraId="663A12CF" w14:textId="77777777" w:rsidR="00740BC9" w:rsidRDefault="00740BC9">
      <w:pPr>
        <w:spacing w:after="160"/>
      </w:pPr>
    </w:p>
    <w:p w14:paraId="5CF07866" w14:textId="77777777" w:rsidR="00740BC9" w:rsidRDefault="00000000">
      <w:pPr>
        <w:spacing w:after="240"/>
      </w:pPr>
      <w:r>
        <w:rPr>
          <w:rFonts w:ascii="Calibri" w:hAnsi="Calibri"/>
          <w:color w:val="333333"/>
          <w:sz w:val="21"/>
        </w:rPr>
        <w:t>Roger has correctly identified the two-niche focus as the right short-term operating model. What follows is the operational execution plan: what the team works on, in what order, and how Roger will know it is working.</w:t>
      </w:r>
    </w:p>
    <w:p w14:paraId="1047BBCC" w14:textId="77777777" w:rsidR="00740BC9" w:rsidRDefault="00000000">
      <w:pPr>
        <w:spacing w:before="200" w:after="40"/>
      </w:pPr>
      <w:r>
        <w:rPr>
          <w:rFonts w:ascii="Calibri" w:hAnsi="Calibri"/>
          <w:b/>
          <w:color w:val="25AAE1"/>
        </w:rPr>
        <w:t>The Rule: One Deliverable at a Time Per Niche</w:t>
      </w:r>
    </w:p>
    <w:p w14:paraId="2AFC3350" w14:textId="77777777" w:rsidR="00740BC9" w:rsidRDefault="00000000">
      <w:pPr>
        <w:spacing w:after="240"/>
      </w:pPr>
      <w:r>
        <w:rPr>
          <w:rFonts w:ascii="Calibri" w:hAnsi="Calibri"/>
          <w:color w:val="333333"/>
          <w:sz w:val="21"/>
        </w:rPr>
        <w:t>The team's capacity is not unlimited, and Roger's attention is the true constraint. The operational rule is simple: one active production task per niche at a time. Parallel workstreams within a niche are fine (e.g., blog + LinkedIn simultaneously for DMA). But do not open a third niche until DMA and LGD each have at least one case study in hand.</w:t>
      </w:r>
    </w:p>
    <w:p w14:paraId="2849525D" w14:textId="77777777" w:rsidR="00740BC9" w:rsidRDefault="00000000">
      <w:pPr>
        <w:spacing w:before="200" w:after="40"/>
      </w:pPr>
      <w:r>
        <w:rPr>
          <w:rFonts w:ascii="Calibri" w:hAnsi="Calibri"/>
          <w:b/>
          <w:color w:val="25AAE1"/>
        </w:rPr>
        <w:t>DMA (Dental Marketing Authority) — 90-Day Operational Plan</w:t>
      </w:r>
    </w:p>
    <w:tbl>
      <w:tblPr>
        <w:tblW w:w="0" w:type="auto"/>
        <w:tblLook w:val="04A0" w:firstRow="1" w:lastRow="0" w:firstColumn="1" w:lastColumn="0" w:noHBand="0" w:noVBand="1"/>
      </w:tblPr>
      <w:tblGrid>
        <w:gridCol w:w="4680"/>
        <w:gridCol w:w="4680"/>
      </w:tblGrid>
      <w:tr w:rsidR="00740BC9" w14:paraId="2E7549E3" w14:textId="77777777">
        <w:tc>
          <w:tcPr>
            <w:tcW w:w="4680" w:type="dxa"/>
            <w:shd w:val="clear" w:color="auto" w:fill="25AAE1"/>
          </w:tcPr>
          <w:p w14:paraId="1FE98C82" w14:textId="77777777" w:rsidR="00740BC9" w:rsidRDefault="00000000">
            <w:pPr>
              <w:spacing w:before="60" w:after="60"/>
            </w:pPr>
            <w:r>
              <w:rPr>
                <w:rFonts w:ascii="Calibri" w:hAnsi="Calibri"/>
                <w:b/>
                <w:color w:val="FFFFFF"/>
                <w:sz w:val="18"/>
              </w:rPr>
              <w:t xml:space="preserve">  Period</w:t>
            </w:r>
          </w:p>
        </w:tc>
        <w:tc>
          <w:tcPr>
            <w:tcW w:w="4680" w:type="dxa"/>
            <w:shd w:val="clear" w:color="auto" w:fill="25AAE1"/>
          </w:tcPr>
          <w:p w14:paraId="5DC01F15" w14:textId="77777777" w:rsidR="00740BC9" w:rsidRDefault="00000000">
            <w:pPr>
              <w:spacing w:before="60" w:after="60"/>
            </w:pPr>
            <w:r>
              <w:rPr>
                <w:rFonts w:ascii="Calibri" w:hAnsi="Calibri"/>
                <w:b/>
                <w:color w:val="FFFFFF"/>
                <w:sz w:val="18"/>
              </w:rPr>
              <w:t>Focus</w:t>
            </w:r>
          </w:p>
        </w:tc>
      </w:tr>
      <w:tr w:rsidR="00740BC9" w14:paraId="09D04C05" w14:textId="77777777">
        <w:tc>
          <w:tcPr>
            <w:tcW w:w="4680" w:type="dxa"/>
            <w:shd w:val="clear" w:color="auto" w:fill="EAF6FC"/>
          </w:tcPr>
          <w:p w14:paraId="64A05A76" w14:textId="77777777" w:rsidR="00740BC9" w:rsidRDefault="00000000">
            <w:pPr>
              <w:spacing w:before="80" w:after="80"/>
            </w:pPr>
            <w:r>
              <w:rPr>
                <w:rFonts w:ascii="Calibri" w:hAnsi="Calibri"/>
                <w:b/>
                <w:color w:val="58585A"/>
                <w:sz w:val="19"/>
              </w:rPr>
              <w:t xml:space="preserve">  Week 1–2</w:t>
            </w:r>
          </w:p>
        </w:tc>
        <w:tc>
          <w:tcPr>
            <w:tcW w:w="4680" w:type="dxa"/>
            <w:shd w:val="clear" w:color="auto" w:fill="EAF6FC"/>
          </w:tcPr>
          <w:p w14:paraId="76BB4844" w14:textId="77777777" w:rsidR="00740BC9" w:rsidRDefault="00000000">
            <w:pPr>
              <w:spacing w:before="80" w:after="80"/>
            </w:pPr>
            <w:r>
              <w:rPr>
                <w:rFonts w:ascii="Calibri" w:hAnsi="Calibri"/>
                <w:color w:val="333333"/>
                <w:sz w:val="19"/>
              </w:rPr>
              <w:t>Warm outreach to 10–15 implant dentists. Run 1 free Digital Authority Assessment. Publish 4 pillar blog articles.</w:t>
            </w:r>
          </w:p>
        </w:tc>
      </w:tr>
      <w:tr w:rsidR="00740BC9" w14:paraId="2AECBF26" w14:textId="77777777">
        <w:tc>
          <w:tcPr>
            <w:tcW w:w="4680" w:type="dxa"/>
            <w:shd w:val="clear" w:color="auto" w:fill="FFFFFF"/>
          </w:tcPr>
          <w:p w14:paraId="17012446" w14:textId="77777777" w:rsidR="00740BC9" w:rsidRDefault="00000000">
            <w:pPr>
              <w:spacing w:before="80" w:after="80"/>
            </w:pPr>
            <w:r>
              <w:rPr>
                <w:rFonts w:ascii="Calibri" w:hAnsi="Calibri"/>
                <w:b/>
                <w:color w:val="58585A"/>
                <w:sz w:val="19"/>
              </w:rPr>
              <w:t xml:space="preserve">  Week 2–4</w:t>
            </w:r>
          </w:p>
        </w:tc>
        <w:tc>
          <w:tcPr>
            <w:tcW w:w="4680" w:type="dxa"/>
            <w:shd w:val="clear" w:color="auto" w:fill="FFFFFF"/>
          </w:tcPr>
          <w:p w14:paraId="21D95DB5" w14:textId="77777777" w:rsidR="00740BC9" w:rsidRDefault="00000000">
            <w:pPr>
              <w:spacing w:before="80" w:after="80"/>
            </w:pPr>
            <w:r>
              <w:rPr>
                <w:rFonts w:ascii="Calibri" w:hAnsi="Calibri"/>
                <w:color w:val="333333"/>
                <w:sz w:val="19"/>
              </w:rPr>
              <w:t>Deliver first Authority Blueprint engagement. Begin DMA LinkedIn content pack (30 days).</w:t>
            </w:r>
          </w:p>
        </w:tc>
      </w:tr>
      <w:tr w:rsidR="00740BC9" w14:paraId="10655F3F" w14:textId="77777777">
        <w:tc>
          <w:tcPr>
            <w:tcW w:w="4680" w:type="dxa"/>
            <w:shd w:val="clear" w:color="auto" w:fill="EAF6FC"/>
          </w:tcPr>
          <w:p w14:paraId="576DD8D7" w14:textId="77777777" w:rsidR="00740BC9" w:rsidRDefault="00000000">
            <w:pPr>
              <w:spacing w:before="80" w:after="80"/>
            </w:pPr>
            <w:r>
              <w:rPr>
                <w:rFonts w:ascii="Calibri" w:hAnsi="Calibri"/>
                <w:b/>
                <w:color w:val="58585A"/>
                <w:sz w:val="19"/>
              </w:rPr>
              <w:t xml:space="preserve">  Month 2</w:t>
            </w:r>
          </w:p>
        </w:tc>
        <w:tc>
          <w:tcPr>
            <w:tcW w:w="4680" w:type="dxa"/>
            <w:shd w:val="clear" w:color="auto" w:fill="EAF6FC"/>
          </w:tcPr>
          <w:p w14:paraId="2C248740" w14:textId="77777777" w:rsidR="00740BC9" w:rsidRDefault="00000000">
            <w:pPr>
              <w:spacing w:before="80" w:after="80"/>
            </w:pPr>
            <w:r>
              <w:rPr>
                <w:rFonts w:ascii="Calibri" w:hAnsi="Calibri"/>
                <w:color w:val="333333"/>
                <w:sz w:val="19"/>
              </w:rPr>
              <w:t>Deliver Content Authority Strategy to first client. Begin YouTube content (Milo Vance). Close second client.</w:t>
            </w:r>
          </w:p>
        </w:tc>
      </w:tr>
      <w:tr w:rsidR="00740BC9" w14:paraId="564B01FC" w14:textId="77777777">
        <w:tc>
          <w:tcPr>
            <w:tcW w:w="4680" w:type="dxa"/>
            <w:shd w:val="clear" w:color="auto" w:fill="FFFFFF"/>
          </w:tcPr>
          <w:p w14:paraId="1C03A1D2" w14:textId="77777777" w:rsidR="00740BC9" w:rsidRDefault="00000000">
            <w:pPr>
              <w:spacing w:before="80" w:after="80"/>
            </w:pPr>
            <w:r>
              <w:rPr>
                <w:rFonts w:ascii="Calibri" w:hAnsi="Calibri"/>
                <w:b/>
                <w:color w:val="58585A"/>
                <w:sz w:val="19"/>
              </w:rPr>
              <w:t xml:space="preserve">  Month 3</w:t>
            </w:r>
          </w:p>
        </w:tc>
        <w:tc>
          <w:tcPr>
            <w:tcW w:w="4680" w:type="dxa"/>
            <w:shd w:val="clear" w:color="auto" w:fill="FFFFFF"/>
          </w:tcPr>
          <w:p w14:paraId="5263B607" w14:textId="77777777" w:rsidR="00740BC9" w:rsidRDefault="00000000">
            <w:pPr>
              <w:spacing w:before="80" w:after="80"/>
            </w:pPr>
            <w:r>
              <w:rPr>
                <w:rFonts w:ascii="Calibri" w:hAnsi="Calibri"/>
                <w:color w:val="333333"/>
                <w:sz w:val="19"/>
              </w:rPr>
              <w:t>First case study documented. Referral ask to first client. Raise price floor by 20%.</w:t>
            </w:r>
          </w:p>
        </w:tc>
      </w:tr>
    </w:tbl>
    <w:p w14:paraId="1697F96A" w14:textId="77777777" w:rsidR="00740BC9" w:rsidRDefault="00740BC9"/>
    <w:p w14:paraId="5F481B51" w14:textId="77777777" w:rsidR="00740BC9" w:rsidRDefault="00000000">
      <w:pPr>
        <w:spacing w:before="200" w:after="40"/>
      </w:pPr>
      <w:r>
        <w:rPr>
          <w:rFonts w:ascii="Calibri" w:hAnsi="Calibri"/>
          <w:b/>
          <w:color w:val="25AAE1"/>
        </w:rPr>
        <w:t>LGD (Legal Growth Dynamics) — 90-Day Operational Plan</w:t>
      </w:r>
    </w:p>
    <w:tbl>
      <w:tblPr>
        <w:tblW w:w="0" w:type="auto"/>
        <w:tblLook w:val="04A0" w:firstRow="1" w:lastRow="0" w:firstColumn="1" w:lastColumn="0" w:noHBand="0" w:noVBand="1"/>
      </w:tblPr>
      <w:tblGrid>
        <w:gridCol w:w="4680"/>
        <w:gridCol w:w="4680"/>
      </w:tblGrid>
      <w:tr w:rsidR="00740BC9" w14:paraId="27DA9ECD" w14:textId="77777777">
        <w:tc>
          <w:tcPr>
            <w:tcW w:w="4680" w:type="dxa"/>
            <w:shd w:val="clear" w:color="auto" w:fill="58585A"/>
          </w:tcPr>
          <w:p w14:paraId="6C4CDB06" w14:textId="77777777" w:rsidR="00740BC9" w:rsidRDefault="00000000">
            <w:pPr>
              <w:spacing w:before="60" w:after="60"/>
            </w:pPr>
            <w:r>
              <w:rPr>
                <w:rFonts w:ascii="Calibri" w:hAnsi="Calibri"/>
                <w:b/>
                <w:color w:val="FFFFFF"/>
                <w:sz w:val="18"/>
              </w:rPr>
              <w:t xml:space="preserve">  Period</w:t>
            </w:r>
          </w:p>
        </w:tc>
        <w:tc>
          <w:tcPr>
            <w:tcW w:w="4680" w:type="dxa"/>
            <w:shd w:val="clear" w:color="auto" w:fill="58585A"/>
          </w:tcPr>
          <w:p w14:paraId="5B7B64E5" w14:textId="77777777" w:rsidR="00740BC9" w:rsidRDefault="00000000">
            <w:pPr>
              <w:spacing w:before="60" w:after="60"/>
            </w:pPr>
            <w:r>
              <w:rPr>
                <w:rFonts w:ascii="Calibri" w:hAnsi="Calibri"/>
                <w:b/>
                <w:color w:val="FFFFFF"/>
                <w:sz w:val="18"/>
              </w:rPr>
              <w:t>Focus</w:t>
            </w:r>
          </w:p>
        </w:tc>
      </w:tr>
      <w:tr w:rsidR="00740BC9" w14:paraId="5AACCCBA" w14:textId="77777777">
        <w:tc>
          <w:tcPr>
            <w:tcW w:w="4680" w:type="dxa"/>
            <w:shd w:val="clear" w:color="auto" w:fill="EAF6FC"/>
          </w:tcPr>
          <w:p w14:paraId="090AF0BF" w14:textId="77777777" w:rsidR="00740BC9" w:rsidRDefault="00000000">
            <w:pPr>
              <w:spacing w:before="80" w:after="80"/>
            </w:pPr>
            <w:r>
              <w:rPr>
                <w:rFonts w:ascii="Calibri" w:hAnsi="Calibri"/>
                <w:b/>
                <w:color w:val="58585A"/>
                <w:sz w:val="19"/>
              </w:rPr>
              <w:t xml:space="preserve">  Week 1–2</w:t>
            </w:r>
          </w:p>
        </w:tc>
        <w:tc>
          <w:tcPr>
            <w:tcW w:w="4680" w:type="dxa"/>
            <w:shd w:val="clear" w:color="auto" w:fill="EAF6FC"/>
          </w:tcPr>
          <w:p w14:paraId="03C293CD" w14:textId="77777777" w:rsidR="00740BC9" w:rsidRDefault="00000000">
            <w:pPr>
              <w:spacing w:before="80" w:after="80"/>
            </w:pPr>
            <w:r>
              <w:rPr>
                <w:rFonts w:ascii="Calibri" w:hAnsi="Calibri"/>
                <w:color w:val="333333"/>
                <w:sz w:val="19"/>
              </w:rPr>
              <w:t>Warm outreach to 10–15 family law attorneys. April content calendar goes live. Run 1 free audit.</w:t>
            </w:r>
          </w:p>
        </w:tc>
      </w:tr>
      <w:tr w:rsidR="00740BC9" w14:paraId="50E63184" w14:textId="77777777">
        <w:tc>
          <w:tcPr>
            <w:tcW w:w="4680" w:type="dxa"/>
            <w:shd w:val="clear" w:color="auto" w:fill="FFFFFF"/>
          </w:tcPr>
          <w:p w14:paraId="3236F0AF" w14:textId="77777777" w:rsidR="00740BC9" w:rsidRDefault="00000000">
            <w:pPr>
              <w:spacing w:before="80" w:after="80"/>
            </w:pPr>
            <w:r>
              <w:rPr>
                <w:rFonts w:ascii="Calibri" w:hAnsi="Calibri"/>
                <w:b/>
                <w:color w:val="58585A"/>
                <w:sz w:val="19"/>
              </w:rPr>
              <w:t xml:space="preserve">  Week 2–4</w:t>
            </w:r>
          </w:p>
        </w:tc>
        <w:tc>
          <w:tcPr>
            <w:tcW w:w="4680" w:type="dxa"/>
            <w:shd w:val="clear" w:color="auto" w:fill="FFFFFF"/>
          </w:tcPr>
          <w:p w14:paraId="00BC3FBF" w14:textId="77777777" w:rsidR="00740BC9" w:rsidRDefault="00000000">
            <w:pPr>
              <w:spacing w:before="80" w:after="80"/>
            </w:pPr>
            <w:r>
              <w:rPr>
                <w:rFonts w:ascii="Calibri" w:hAnsi="Calibri"/>
                <w:color w:val="333333"/>
                <w:sz w:val="19"/>
              </w:rPr>
              <w:t>Deliver Authority Blueprint to first LGD client. Begin email sequence build (Rhett Callahan).</w:t>
            </w:r>
          </w:p>
        </w:tc>
      </w:tr>
      <w:tr w:rsidR="00740BC9" w14:paraId="4855915E" w14:textId="77777777">
        <w:tc>
          <w:tcPr>
            <w:tcW w:w="4680" w:type="dxa"/>
            <w:shd w:val="clear" w:color="auto" w:fill="EAF6FC"/>
          </w:tcPr>
          <w:p w14:paraId="2A067876" w14:textId="77777777" w:rsidR="00740BC9" w:rsidRDefault="00000000">
            <w:pPr>
              <w:spacing w:before="80" w:after="80"/>
            </w:pPr>
            <w:r>
              <w:rPr>
                <w:rFonts w:ascii="Calibri" w:hAnsi="Calibri"/>
                <w:b/>
                <w:color w:val="58585A"/>
                <w:sz w:val="19"/>
              </w:rPr>
              <w:t xml:space="preserve">  Month 2</w:t>
            </w:r>
          </w:p>
        </w:tc>
        <w:tc>
          <w:tcPr>
            <w:tcW w:w="4680" w:type="dxa"/>
            <w:shd w:val="clear" w:color="auto" w:fill="EAF6FC"/>
          </w:tcPr>
          <w:p w14:paraId="55480E33" w14:textId="77777777" w:rsidR="00740BC9" w:rsidRDefault="00000000">
            <w:pPr>
              <w:spacing w:before="80" w:after="80"/>
            </w:pPr>
            <w:r>
              <w:rPr>
                <w:rFonts w:ascii="Calibri" w:hAnsi="Calibri"/>
                <w:color w:val="333333"/>
                <w:sz w:val="19"/>
              </w:rPr>
              <w:t>May content calendar delivered. Website copy audit (Audrey Voss). Close second client.</w:t>
            </w:r>
          </w:p>
        </w:tc>
      </w:tr>
      <w:tr w:rsidR="00740BC9" w14:paraId="49500953" w14:textId="77777777">
        <w:tc>
          <w:tcPr>
            <w:tcW w:w="4680" w:type="dxa"/>
            <w:shd w:val="clear" w:color="auto" w:fill="FFFFFF"/>
          </w:tcPr>
          <w:p w14:paraId="15B6B0FF" w14:textId="77777777" w:rsidR="00740BC9" w:rsidRDefault="00000000">
            <w:pPr>
              <w:spacing w:before="80" w:after="80"/>
            </w:pPr>
            <w:r>
              <w:rPr>
                <w:rFonts w:ascii="Calibri" w:hAnsi="Calibri"/>
                <w:b/>
                <w:color w:val="58585A"/>
                <w:sz w:val="19"/>
              </w:rPr>
              <w:t xml:space="preserve">  Month 3</w:t>
            </w:r>
          </w:p>
        </w:tc>
        <w:tc>
          <w:tcPr>
            <w:tcW w:w="4680" w:type="dxa"/>
            <w:shd w:val="clear" w:color="auto" w:fill="FFFFFF"/>
          </w:tcPr>
          <w:p w14:paraId="1CB0E50E" w14:textId="77777777" w:rsidR="00740BC9" w:rsidRDefault="00000000">
            <w:pPr>
              <w:spacing w:before="80" w:after="80"/>
            </w:pPr>
            <w:r>
              <w:rPr>
                <w:rFonts w:ascii="Calibri" w:hAnsi="Calibri"/>
                <w:color w:val="333333"/>
                <w:sz w:val="19"/>
              </w:rPr>
              <w:t>First case study documented. Dream 100 cold outreach activated (Solomon Grey). Referral program live.</w:t>
            </w:r>
          </w:p>
        </w:tc>
      </w:tr>
    </w:tbl>
    <w:p w14:paraId="1E829AAF" w14:textId="77777777" w:rsidR="00740BC9" w:rsidRDefault="00740BC9">
      <w:pPr>
        <w:spacing w:after="240"/>
      </w:pPr>
    </w:p>
    <w:p w14:paraId="1374E3C6" w14:textId="77777777" w:rsidR="00740BC9" w:rsidRDefault="00000000">
      <w:pPr>
        <w:spacing w:before="200" w:after="40"/>
      </w:pPr>
      <w:r>
        <w:rPr>
          <w:rFonts w:ascii="Calibri" w:hAnsi="Calibri"/>
          <w:b/>
          <w:color w:val="25AAE1"/>
        </w:rPr>
        <w:lastRenderedPageBreak/>
        <w:t>The Hiring Trigger</w:t>
      </w:r>
    </w:p>
    <w:p w14:paraId="0652DF40" w14:textId="77777777" w:rsidR="00740BC9" w:rsidRDefault="00000000">
      <w:pPr>
        <w:spacing w:after="120"/>
      </w:pPr>
      <w:r>
        <w:rPr>
          <w:rFonts w:ascii="Calibri" w:hAnsi="Calibri"/>
          <w:color w:val="333333"/>
          <w:sz w:val="21"/>
        </w:rPr>
        <w:t>Roger indicated he will consider hiring one person once a business takes off. Here is the specific trigger we recommend:</w:t>
      </w:r>
    </w:p>
    <w:p w14:paraId="344B5632" w14:textId="77777777" w:rsidR="00740BC9" w:rsidRDefault="00000000">
      <w:pPr>
        <w:spacing w:before="60" w:after="60"/>
      </w:pPr>
      <w:r>
        <w:rPr>
          <w:rFonts w:ascii="Calibri" w:hAnsi="Calibri"/>
          <w:b/>
          <w:color w:val="1A2533"/>
          <w:sz w:val="20"/>
        </w:rPr>
        <w:t xml:space="preserve">Revenue threshold: </w:t>
      </w:r>
      <w:r>
        <w:rPr>
          <w:rFonts w:ascii="Calibri" w:hAnsi="Calibri"/>
          <w:color w:val="333333"/>
          <w:sz w:val="20"/>
        </w:rPr>
        <w:t>$8,000–$10,000/month in recurring retainer revenue from a single niche. At that level, one hire pays for itself without straining cash flow.</w:t>
      </w:r>
    </w:p>
    <w:p w14:paraId="49367BA1" w14:textId="77777777" w:rsidR="00740BC9" w:rsidRDefault="00000000">
      <w:pPr>
        <w:spacing w:before="60" w:after="60"/>
      </w:pPr>
      <w:r>
        <w:rPr>
          <w:rFonts w:ascii="Calibri" w:hAnsi="Calibri"/>
          <w:b/>
          <w:color w:val="1A2533"/>
          <w:sz w:val="20"/>
        </w:rPr>
        <w:t xml:space="preserve">Capacity signal: </w:t>
      </w:r>
      <w:r>
        <w:rPr>
          <w:rFonts w:ascii="Calibri" w:hAnsi="Calibri"/>
          <w:color w:val="333333"/>
          <w:sz w:val="20"/>
        </w:rPr>
        <w:t>Roger is turning down work or consistently behind on deliverable timelines. That is the clearest operational signal.</w:t>
      </w:r>
    </w:p>
    <w:p w14:paraId="4A31A38F" w14:textId="77777777" w:rsidR="00740BC9" w:rsidRDefault="00000000">
      <w:pPr>
        <w:spacing w:before="60" w:after="60"/>
      </w:pPr>
      <w:r>
        <w:rPr>
          <w:rFonts w:ascii="Calibri" w:hAnsi="Calibri"/>
          <w:b/>
          <w:color w:val="1A2533"/>
          <w:sz w:val="20"/>
        </w:rPr>
        <w:t xml:space="preserve">Role to hire first: </w:t>
      </w:r>
      <w:r>
        <w:rPr>
          <w:rFonts w:ascii="Calibri" w:hAnsi="Calibri"/>
          <w:color w:val="333333"/>
          <w:sz w:val="20"/>
        </w:rPr>
        <w:t>A delivery coordinator or content operations person — not a salesperson. Roger closes deals. The first hire protects delivery quality as volume grows.</w:t>
      </w:r>
    </w:p>
    <w:p w14:paraId="6D5C7725" w14:textId="77777777" w:rsidR="00740BC9" w:rsidRDefault="00000000">
      <w:pPr>
        <w:spacing w:before="60" w:after="60"/>
      </w:pPr>
      <w:r>
        <w:rPr>
          <w:rFonts w:ascii="Calibri" w:hAnsi="Calibri"/>
          <w:b/>
          <w:color w:val="1A2533"/>
          <w:sz w:val="20"/>
        </w:rPr>
        <w:t xml:space="preserve">Niche to hire in: </w:t>
      </w:r>
      <w:r>
        <w:rPr>
          <w:rFonts w:ascii="Calibri" w:hAnsi="Calibri"/>
          <w:color w:val="333333"/>
          <w:sz w:val="20"/>
        </w:rPr>
        <w:t>Whichever niche hits the revenue threshold first. If both hit simultaneously, hire for DMA first — the content system is more process-driven and easier to hand off than LGD's relationship-intensive work.</w:t>
      </w:r>
    </w:p>
    <w:p w14:paraId="0F53AA40" w14:textId="77777777" w:rsidR="00740BC9" w:rsidRDefault="00740BC9">
      <w:pPr>
        <w:spacing w:after="240"/>
      </w:pPr>
    </w:p>
    <w:p w14:paraId="17B70AA1" w14:textId="77777777" w:rsidR="00740BC9" w:rsidRDefault="00000000">
      <w:r>
        <w:br w:type="page"/>
      </w:r>
    </w:p>
    <w:p w14:paraId="641F90DD" w14:textId="77777777" w:rsidR="00740BC9" w:rsidRDefault="00000000">
      <w:pPr>
        <w:shd w:val="clear" w:color="auto" w:fill="1A2533"/>
        <w:spacing w:before="80" w:after="0"/>
      </w:pPr>
      <w:r>
        <w:rPr>
          <w:rFonts w:ascii="Calibri" w:hAnsi="Calibri"/>
          <w:b/>
          <w:color w:val="FFFFFF"/>
          <w:sz w:val="26"/>
        </w:rPr>
        <w:lastRenderedPageBreak/>
        <w:t xml:space="preserve">  05 — DORMANT ASSETS &amp; DOMAIN INVENTORY  |  Iris Nolan, CTO  </w:t>
      </w:r>
    </w:p>
    <w:p w14:paraId="2A0547FA" w14:textId="77777777" w:rsidR="00740BC9" w:rsidRDefault="00740BC9">
      <w:pPr>
        <w:spacing w:after="160"/>
      </w:pPr>
    </w:p>
    <w:p w14:paraId="27A7058F" w14:textId="77777777" w:rsidR="00740BC9" w:rsidRDefault="00000000">
      <w:r>
        <w:rPr>
          <w:rFonts w:ascii="Calibri" w:hAnsi="Calibri"/>
          <w:color w:val="333333"/>
          <w:sz w:val="21"/>
        </w:rPr>
        <w:t>Roger mentioned several unused domains and deferred projects. From an infrastructure perspective, here is how I recommend treating the full asset inventory:</w:t>
      </w:r>
    </w:p>
    <w:p w14:paraId="4D8CFA38" w14:textId="77777777" w:rsidR="00740BC9" w:rsidRDefault="00000000">
      <w:pPr>
        <w:spacing w:before="200" w:after="40"/>
      </w:pPr>
      <w:r>
        <w:rPr>
          <w:rFonts w:ascii="Calibri" w:hAnsi="Calibri"/>
          <w:b/>
          <w:color w:val="25AAE1"/>
        </w:rPr>
        <w:t>Domains — Decision Framework</w:t>
      </w:r>
    </w:p>
    <w:p w14:paraId="346803D2" w14:textId="77777777" w:rsidR="00740BC9" w:rsidRDefault="00000000">
      <w:pPr>
        <w:spacing w:after="120"/>
      </w:pPr>
      <w:r>
        <w:rPr>
          <w:rFonts w:ascii="Calibri" w:hAnsi="Calibri"/>
          <w:color w:val="333333"/>
          <w:sz w:val="21"/>
        </w:rPr>
        <w:t>For every domain in Roger's portfolio, apply this three-question test:</w:t>
      </w:r>
    </w:p>
    <w:p w14:paraId="15676216" w14:textId="77777777" w:rsidR="00740BC9" w:rsidRDefault="00000000">
      <w:pPr>
        <w:pStyle w:val="ListBullet"/>
        <w:spacing w:after="60"/>
        <w:ind w:left="288"/>
      </w:pPr>
      <w:r>
        <w:rPr>
          <w:rFonts w:ascii="Calibri" w:hAnsi="Calibri"/>
          <w:color w:val="333333"/>
          <w:sz w:val="21"/>
        </w:rPr>
        <w:t>Is there an active revenue path attached to this domain within the next 12 months? If yes — prioritize. If no — hold.</w:t>
      </w:r>
    </w:p>
    <w:p w14:paraId="3A2AB4D1" w14:textId="77777777" w:rsidR="00740BC9" w:rsidRDefault="00000000">
      <w:pPr>
        <w:pStyle w:val="ListBullet"/>
        <w:spacing w:after="60"/>
        <w:ind w:left="288"/>
      </w:pPr>
      <w:r>
        <w:rPr>
          <w:rFonts w:ascii="Calibri" w:hAnsi="Calibri"/>
          <w:color w:val="333333"/>
          <w:sz w:val="21"/>
        </w:rPr>
        <w:t>Does it serve a niche that Roger is actively building proof in? If yes — build the site as content infrastructure. If no — park it with a redirect or placeholder.</w:t>
      </w:r>
    </w:p>
    <w:p w14:paraId="13679311" w14:textId="77777777" w:rsidR="00740BC9" w:rsidRDefault="00000000">
      <w:pPr>
        <w:pStyle w:val="ListBullet"/>
        <w:spacing w:after="60"/>
        <w:ind w:left="288"/>
      </w:pPr>
      <w:r>
        <w:rPr>
          <w:rFonts w:ascii="Calibri" w:hAnsi="Calibri"/>
          <w:color w:val="333333"/>
          <w:sz w:val="21"/>
        </w:rPr>
        <w:t>Is this domain's value tied to Roger being the face of it, or could it function as a productized system? If the latter — it belongs in the Phase 2 pipeline (x2 Sales, LCS) and should not absorb energy now.</w:t>
      </w:r>
    </w:p>
    <w:p w14:paraId="07819E30" w14:textId="77777777" w:rsidR="00740BC9" w:rsidRDefault="00740BC9">
      <w:pPr>
        <w:spacing w:after="160"/>
      </w:pPr>
    </w:p>
    <w:p w14:paraId="129E54F5" w14:textId="77777777" w:rsidR="00740BC9" w:rsidRDefault="00000000">
      <w:pPr>
        <w:spacing w:before="200" w:after="40"/>
      </w:pPr>
      <w:r>
        <w:rPr>
          <w:rFonts w:ascii="Calibri" w:hAnsi="Calibri"/>
          <w:b/>
          <w:color w:val="25AAE1"/>
        </w:rPr>
        <w:t>Active Infrastructure — Recommended Priority Build Order</w:t>
      </w:r>
    </w:p>
    <w:tbl>
      <w:tblPr>
        <w:tblW w:w="0" w:type="auto"/>
        <w:tblLook w:val="04A0" w:firstRow="1" w:lastRow="0" w:firstColumn="1" w:lastColumn="0" w:noHBand="0" w:noVBand="1"/>
      </w:tblPr>
      <w:tblGrid>
        <w:gridCol w:w="3120"/>
        <w:gridCol w:w="3120"/>
        <w:gridCol w:w="3120"/>
      </w:tblGrid>
      <w:tr w:rsidR="00740BC9" w14:paraId="3E24592F" w14:textId="77777777">
        <w:tc>
          <w:tcPr>
            <w:tcW w:w="3120" w:type="dxa"/>
            <w:shd w:val="clear" w:color="auto" w:fill="1A2533"/>
          </w:tcPr>
          <w:p w14:paraId="5F2DF359" w14:textId="77777777" w:rsidR="00740BC9" w:rsidRDefault="00000000">
            <w:pPr>
              <w:spacing w:before="60" w:after="60"/>
            </w:pPr>
            <w:r>
              <w:rPr>
                <w:rFonts w:ascii="Calibri" w:hAnsi="Calibri"/>
                <w:b/>
                <w:color w:val="FFFFFF"/>
                <w:sz w:val="18"/>
              </w:rPr>
              <w:t>Asset</w:t>
            </w:r>
          </w:p>
        </w:tc>
        <w:tc>
          <w:tcPr>
            <w:tcW w:w="3120" w:type="dxa"/>
            <w:shd w:val="clear" w:color="auto" w:fill="1A2533"/>
          </w:tcPr>
          <w:p w14:paraId="00DD8DF4" w14:textId="77777777" w:rsidR="00740BC9" w:rsidRDefault="00000000">
            <w:pPr>
              <w:spacing w:before="60" w:after="60"/>
            </w:pPr>
            <w:r>
              <w:rPr>
                <w:rFonts w:ascii="Calibri" w:hAnsi="Calibri"/>
                <w:b/>
                <w:color w:val="FFFFFF"/>
                <w:sz w:val="18"/>
              </w:rPr>
              <w:t>Priority</w:t>
            </w:r>
          </w:p>
        </w:tc>
        <w:tc>
          <w:tcPr>
            <w:tcW w:w="3120" w:type="dxa"/>
            <w:shd w:val="clear" w:color="auto" w:fill="1A2533"/>
          </w:tcPr>
          <w:p w14:paraId="4E9B7D57" w14:textId="77777777" w:rsidR="00740BC9" w:rsidRDefault="00000000">
            <w:pPr>
              <w:spacing w:before="60" w:after="60"/>
            </w:pPr>
            <w:r>
              <w:rPr>
                <w:rFonts w:ascii="Calibri" w:hAnsi="Calibri"/>
                <w:b/>
                <w:color w:val="FFFFFF"/>
                <w:sz w:val="18"/>
              </w:rPr>
              <w:t>Recommendation</w:t>
            </w:r>
          </w:p>
        </w:tc>
      </w:tr>
      <w:tr w:rsidR="00740BC9" w14:paraId="4D638998" w14:textId="77777777">
        <w:tc>
          <w:tcPr>
            <w:tcW w:w="3120" w:type="dxa"/>
            <w:shd w:val="clear" w:color="auto" w:fill="EAF6FC"/>
          </w:tcPr>
          <w:p w14:paraId="137E3891" w14:textId="77777777" w:rsidR="00740BC9" w:rsidRDefault="00000000">
            <w:pPr>
              <w:spacing w:before="80" w:after="80"/>
            </w:pPr>
            <w:r>
              <w:rPr>
                <w:rFonts w:ascii="Calibri" w:hAnsi="Calibri"/>
                <w:b/>
                <w:color w:val="333333"/>
                <w:sz w:val="19"/>
              </w:rPr>
              <w:t>DMA Website</w:t>
            </w:r>
          </w:p>
        </w:tc>
        <w:tc>
          <w:tcPr>
            <w:tcW w:w="3120" w:type="dxa"/>
            <w:shd w:val="clear" w:color="auto" w:fill="27AE60"/>
          </w:tcPr>
          <w:p w14:paraId="6C4CDA01" w14:textId="77777777" w:rsidR="00740BC9" w:rsidRDefault="00000000">
            <w:pPr>
              <w:spacing w:before="80" w:after="80"/>
              <w:jc w:val="center"/>
            </w:pPr>
            <w:r>
              <w:rPr>
                <w:rFonts w:ascii="Calibri" w:hAnsi="Calibri"/>
                <w:b/>
                <w:color w:val="FFFFFF"/>
                <w:sz w:val="16"/>
              </w:rPr>
              <w:t>HIGH</w:t>
            </w:r>
          </w:p>
        </w:tc>
        <w:tc>
          <w:tcPr>
            <w:tcW w:w="3120" w:type="dxa"/>
            <w:shd w:val="clear" w:color="auto" w:fill="EAF6FC"/>
          </w:tcPr>
          <w:p w14:paraId="5B545591" w14:textId="77777777" w:rsidR="00740BC9" w:rsidRDefault="00000000">
            <w:pPr>
              <w:spacing w:before="80" w:after="80"/>
            </w:pPr>
            <w:r>
              <w:rPr>
                <w:rFonts w:ascii="Calibri" w:hAnsi="Calibri"/>
                <w:color w:val="333333"/>
                <w:sz w:val="19"/>
              </w:rPr>
              <w:t>Dental Marketing Authority needs a content-publishing home. Minimum viable: landing page + blog. Publish April articles now.</w:t>
            </w:r>
          </w:p>
        </w:tc>
      </w:tr>
      <w:tr w:rsidR="00740BC9" w14:paraId="15B3B23A" w14:textId="77777777">
        <w:tc>
          <w:tcPr>
            <w:tcW w:w="3120" w:type="dxa"/>
            <w:shd w:val="clear" w:color="auto" w:fill="FFFFFF"/>
          </w:tcPr>
          <w:p w14:paraId="7EA277F6" w14:textId="77777777" w:rsidR="00740BC9" w:rsidRDefault="00000000">
            <w:pPr>
              <w:spacing w:before="80" w:after="80"/>
            </w:pPr>
            <w:r>
              <w:rPr>
                <w:rFonts w:ascii="Calibri" w:hAnsi="Calibri"/>
                <w:b/>
                <w:color w:val="333333"/>
                <w:sz w:val="19"/>
              </w:rPr>
              <w:t>LGD Website</w:t>
            </w:r>
          </w:p>
        </w:tc>
        <w:tc>
          <w:tcPr>
            <w:tcW w:w="3120" w:type="dxa"/>
            <w:shd w:val="clear" w:color="auto" w:fill="27AE60"/>
          </w:tcPr>
          <w:p w14:paraId="39E12036" w14:textId="77777777" w:rsidR="00740BC9" w:rsidRDefault="00000000">
            <w:pPr>
              <w:spacing w:before="80" w:after="80"/>
              <w:jc w:val="center"/>
            </w:pPr>
            <w:r>
              <w:rPr>
                <w:rFonts w:ascii="Calibri" w:hAnsi="Calibri"/>
                <w:b/>
                <w:color w:val="FFFFFF"/>
                <w:sz w:val="16"/>
              </w:rPr>
              <w:t>HIGH</w:t>
            </w:r>
          </w:p>
        </w:tc>
        <w:tc>
          <w:tcPr>
            <w:tcW w:w="3120" w:type="dxa"/>
            <w:shd w:val="clear" w:color="auto" w:fill="FFFFFF"/>
          </w:tcPr>
          <w:p w14:paraId="0C9D9D99" w14:textId="77777777" w:rsidR="00740BC9" w:rsidRDefault="00000000">
            <w:pPr>
              <w:spacing w:before="80" w:after="80"/>
            </w:pPr>
            <w:r>
              <w:rPr>
                <w:rFonts w:ascii="Calibri" w:hAnsi="Calibri"/>
                <w:color w:val="333333"/>
                <w:sz w:val="19"/>
              </w:rPr>
              <w:t>Already in use. Priority: website copy audit + conversion optimization (Audrey Voss). Ongoing: blog publishing.</w:t>
            </w:r>
          </w:p>
        </w:tc>
      </w:tr>
      <w:tr w:rsidR="00740BC9" w14:paraId="2549E12B" w14:textId="77777777">
        <w:tc>
          <w:tcPr>
            <w:tcW w:w="3120" w:type="dxa"/>
            <w:shd w:val="clear" w:color="auto" w:fill="EAF6FC"/>
          </w:tcPr>
          <w:p w14:paraId="29C92507" w14:textId="77777777" w:rsidR="00740BC9" w:rsidRDefault="00000000">
            <w:pPr>
              <w:spacing w:before="80" w:after="80"/>
            </w:pPr>
            <w:r>
              <w:rPr>
                <w:rFonts w:ascii="Calibri" w:hAnsi="Calibri"/>
                <w:b/>
                <w:color w:val="333333"/>
                <w:sz w:val="19"/>
              </w:rPr>
              <w:t>ASG Website</w:t>
            </w:r>
          </w:p>
        </w:tc>
        <w:tc>
          <w:tcPr>
            <w:tcW w:w="3120" w:type="dxa"/>
            <w:shd w:val="clear" w:color="auto" w:fill="F39C12"/>
          </w:tcPr>
          <w:p w14:paraId="249E3BBC" w14:textId="77777777" w:rsidR="00740BC9" w:rsidRDefault="00000000">
            <w:pPr>
              <w:spacing w:before="80" w:after="80"/>
              <w:jc w:val="center"/>
            </w:pPr>
            <w:r>
              <w:rPr>
                <w:rFonts w:ascii="Calibri" w:hAnsi="Calibri"/>
                <w:b/>
                <w:color w:val="FFFFFF"/>
                <w:sz w:val="16"/>
              </w:rPr>
              <w:t>MEDIUM</w:t>
            </w:r>
          </w:p>
        </w:tc>
        <w:tc>
          <w:tcPr>
            <w:tcW w:w="3120" w:type="dxa"/>
            <w:shd w:val="clear" w:color="auto" w:fill="EAF6FC"/>
          </w:tcPr>
          <w:p w14:paraId="65666BFE" w14:textId="77777777" w:rsidR="00740BC9" w:rsidRDefault="00000000">
            <w:pPr>
              <w:spacing w:before="80" w:after="80"/>
            </w:pPr>
            <w:r>
              <w:rPr>
                <w:rFonts w:ascii="Calibri" w:hAnsi="Calibri"/>
                <w:color w:val="333333"/>
                <w:sz w:val="19"/>
              </w:rPr>
              <w:t>Authority Systems Group needs a credential-building web presence for prospects who research Roger. Not urgent — but build before scaling outreach.</w:t>
            </w:r>
          </w:p>
        </w:tc>
      </w:tr>
      <w:tr w:rsidR="00740BC9" w14:paraId="7B4A37E5" w14:textId="77777777">
        <w:tc>
          <w:tcPr>
            <w:tcW w:w="3120" w:type="dxa"/>
            <w:shd w:val="clear" w:color="auto" w:fill="FFFFFF"/>
          </w:tcPr>
          <w:p w14:paraId="1E4FE5B2" w14:textId="77777777" w:rsidR="00740BC9" w:rsidRDefault="00000000">
            <w:pPr>
              <w:spacing w:before="80" w:after="80"/>
            </w:pPr>
            <w:r>
              <w:rPr>
                <w:rFonts w:ascii="Calibri" w:hAnsi="Calibri"/>
                <w:b/>
                <w:color w:val="333333"/>
                <w:sz w:val="19"/>
              </w:rPr>
              <w:t>Legal Growth Pilot (GHL)</w:t>
            </w:r>
          </w:p>
        </w:tc>
        <w:tc>
          <w:tcPr>
            <w:tcW w:w="3120" w:type="dxa"/>
            <w:shd w:val="clear" w:color="auto" w:fill="F39C12"/>
          </w:tcPr>
          <w:p w14:paraId="7A2BA48B" w14:textId="77777777" w:rsidR="00740BC9" w:rsidRDefault="00000000">
            <w:pPr>
              <w:spacing w:before="80" w:after="80"/>
              <w:jc w:val="center"/>
            </w:pPr>
            <w:r>
              <w:rPr>
                <w:rFonts w:ascii="Calibri" w:hAnsi="Calibri"/>
                <w:b/>
                <w:color w:val="FFFFFF"/>
                <w:sz w:val="16"/>
              </w:rPr>
              <w:t>MEDIUM</w:t>
            </w:r>
          </w:p>
        </w:tc>
        <w:tc>
          <w:tcPr>
            <w:tcW w:w="3120" w:type="dxa"/>
            <w:shd w:val="clear" w:color="auto" w:fill="FFFFFF"/>
          </w:tcPr>
          <w:p w14:paraId="77546240" w14:textId="77777777" w:rsidR="00740BC9" w:rsidRDefault="00000000">
            <w:pPr>
              <w:spacing w:before="80" w:after="80"/>
            </w:pPr>
            <w:r>
              <w:rPr>
                <w:rFonts w:ascii="Calibri" w:hAnsi="Calibri"/>
                <w:color w:val="333333"/>
                <w:sz w:val="19"/>
              </w:rPr>
              <w:t>Operational backbone. Use for client CRM builds. Rebrand consideration deferred to Phase 2.</w:t>
            </w:r>
          </w:p>
        </w:tc>
      </w:tr>
      <w:tr w:rsidR="00740BC9" w14:paraId="15E76E3B" w14:textId="77777777">
        <w:tc>
          <w:tcPr>
            <w:tcW w:w="3120" w:type="dxa"/>
            <w:shd w:val="clear" w:color="auto" w:fill="EAF6FC"/>
          </w:tcPr>
          <w:p w14:paraId="694F35C3" w14:textId="77777777" w:rsidR="00740BC9" w:rsidRDefault="00000000">
            <w:pPr>
              <w:spacing w:before="80" w:after="80"/>
            </w:pPr>
            <w:r>
              <w:rPr>
                <w:rFonts w:ascii="Calibri" w:hAnsi="Calibri"/>
                <w:b/>
                <w:color w:val="333333"/>
                <w:sz w:val="19"/>
              </w:rPr>
              <w:t>x2 Sales domain</w:t>
            </w:r>
          </w:p>
        </w:tc>
        <w:tc>
          <w:tcPr>
            <w:tcW w:w="3120" w:type="dxa"/>
            <w:shd w:val="clear" w:color="auto" w:fill="58585A"/>
          </w:tcPr>
          <w:p w14:paraId="1ECE777F" w14:textId="77777777" w:rsidR="00740BC9" w:rsidRDefault="00000000">
            <w:pPr>
              <w:spacing w:before="80" w:after="80"/>
              <w:jc w:val="center"/>
            </w:pPr>
            <w:r>
              <w:rPr>
                <w:rFonts w:ascii="Calibri" w:hAnsi="Calibri"/>
                <w:b/>
                <w:color w:val="FFFFFF"/>
                <w:sz w:val="16"/>
              </w:rPr>
              <w:t>LOW</w:t>
            </w:r>
          </w:p>
        </w:tc>
        <w:tc>
          <w:tcPr>
            <w:tcW w:w="3120" w:type="dxa"/>
            <w:shd w:val="clear" w:color="auto" w:fill="EAF6FC"/>
          </w:tcPr>
          <w:p w14:paraId="71CB0E10" w14:textId="77777777" w:rsidR="00740BC9" w:rsidRDefault="00000000">
            <w:pPr>
              <w:spacing w:before="80" w:after="80"/>
            </w:pPr>
            <w:r>
              <w:rPr>
                <w:rFonts w:ascii="Calibri" w:hAnsi="Calibri"/>
                <w:color w:val="333333"/>
                <w:sz w:val="19"/>
              </w:rPr>
              <w:t>Parked. Activate in Phase 2 after DMA and LGD case studies are documented.</w:t>
            </w:r>
          </w:p>
        </w:tc>
      </w:tr>
      <w:tr w:rsidR="00740BC9" w14:paraId="4767AE45" w14:textId="77777777">
        <w:tc>
          <w:tcPr>
            <w:tcW w:w="3120" w:type="dxa"/>
            <w:shd w:val="clear" w:color="auto" w:fill="FFFFFF"/>
          </w:tcPr>
          <w:p w14:paraId="6A7C8EFE" w14:textId="77777777" w:rsidR="00740BC9" w:rsidRDefault="00000000">
            <w:pPr>
              <w:spacing w:before="80" w:after="80"/>
            </w:pPr>
            <w:r>
              <w:rPr>
                <w:rFonts w:ascii="Calibri" w:hAnsi="Calibri"/>
                <w:b/>
                <w:color w:val="333333"/>
                <w:sz w:val="19"/>
              </w:rPr>
              <w:lastRenderedPageBreak/>
              <w:t>LCS domain</w:t>
            </w:r>
          </w:p>
        </w:tc>
        <w:tc>
          <w:tcPr>
            <w:tcW w:w="3120" w:type="dxa"/>
            <w:shd w:val="clear" w:color="auto" w:fill="58585A"/>
          </w:tcPr>
          <w:p w14:paraId="4786A401" w14:textId="77777777" w:rsidR="00740BC9" w:rsidRDefault="00000000">
            <w:pPr>
              <w:spacing w:before="80" w:after="80"/>
              <w:jc w:val="center"/>
            </w:pPr>
            <w:r>
              <w:rPr>
                <w:rFonts w:ascii="Calibri" w:hAnsi="Calibri"/>
                <w:b/>
                <w:color w:val="FFFFFF"/>
                <w:sz w:val="16"/>
              </w:rPr>
              <w:t>LOW</w:t>
            </w:r>
          </w:p>
        </w:tc>
        <w:tc>
          <w:tcPr>
            <w:tcW w:w="3120" w:type="dxa"/>
            <w:shd w:val="clear" w:color="auto" w:fill="FFFFFF"/>
          </w:tcPr>
          <w:p w14:paraId="134E8C43" w14:textId="77777777" w:rsidR="00740BC9" w:rsidRDefault="00000000">
            <w:pPr>
              <w:spacing w:before="80" w:after="80"/>
            </w:pPr>
            <w:r>
              <w:rPr>
                <w:rFonts w:ascii="Calibri" w:hAnsi="Calibri"/>
                <w:color w:val="333333"/>
                <w:sz w:val="19"/>
              </w:rPr>
              <w:t>Parked. Activate with training program build in Phase 2.</w:t>
            </w:r>
          </w:p>
        </w:tc>
      </w:tr>
      <w:tr w:rsidR="00740BC9" w14:paraId="66F764CD" w14:textId="77777777">
        <w:tc>
          <w:tcPr>
            <w:tcW w:w="3120" w:type="dxa"/>
            <w:shd w:val="clear" w:color="auto" w:fill="EAF6FC"/>
          </w:tcPr>
          <w:p w14:paraId="6F95754A" w14:textId="77777777" w:rsidR="00740BC9" w:rsidRDefault="00000000">
            <w:pPr>
              <w:spacing w:before="80" w:after="80"/>
            </w:pPr>
            <w:r>
              <w:rPr>
                <w:rFonts w:ascii="Calibri" w:hAnsi="Calibri"/>
                <w:b/>
                <w:color w:val="333333"/>
                <w:sz w:val="19"/>
              </w:rPr>
              <w:t>SMB Consulting domain</w:t>
            </w:r>
          </w:p>
        </w:tc>
        <w:tc>
          <w:tcPr>
            <w:tcW w:w="3120" w:type="dxa"/>
            <w:shd w:val="clear" w:color="auto" w:fill="AAAAAA"/>
          </w:tcPr>
          <w:p w14:paraId="53C18B1F" w14:textId="77777777" w:rsidR="00740BC9" w:rsidRDefault="00000000">
            <w:pPr>
              <w:spacing w:before="80" w:after="80"/>
              <w:jc w:val="center"/>
            </w:pPr>
            <w:r>
              <w:rPr>
                <w:rFonts w:ascii="Calibri" w:hAnsi="Calibri"/>
                <w:b/>
                <w:color w:val="FFFFFF"/>
                <w:sz w:val="16"/>
              </w:rPr>
              <w:t>ARCHIVE</w:t>
            </w:r>
          </w:p>
        </w:tc>
        <w:tc>
          <w:tcPr>
            <w:tcW w:w="3120" w:type="dxa"/>
            <w:shd w:val="clear" w:color="auto" w:fill="EAF6FC"/>
          </w:tcPr>
          <w:p w14:paraId="43030C30" w14:textId="77777777" w:rsidR="00740BC9" w:rsidRDefault="00000000">
            <w:pPr>
              <w:spacing w:before="80" w:after="80"/>
            </w:pPr>
            <w:r>
              <w:rPr>
                <w:rFonts w:ascii="Calibri" w:hAnsi="Calibri"/>
                <w:color w:val="333333"/>
                <w:sz w:val="19"/>
              </w:rPr>
              <w:t>No action. Let expire or redirect to ASG.</w:t>
            </w:r>
          </w:p>
        </w:tc>
      </w:tr>
    </w:tbl>
    <w:p w14:paraId="3BE304BC" w14:textId="77777777" w:rsidR="00740BC9" w:rsidRDefault="00740BC9">
      <w:pPr>
        <w:spacing w:after="240"/>
      </w:pPr>
    </w:p>
    <w:p w14:paraId="0F39683B" w14:textId="77777777" w:rsidR="00740BC9" w:rsidRDefault="00000000">
      <w:pPr>
        <w:spacing w:after="120"/>
      </w:pPr>
      <w:r>
        <w:rPr>
          <w:rFonts w:ascii="Calibri" w:hAnsi="Calibri"/>
          <w:i/>
          <w:color w:val="58585A"/>
          <w:sz w:val="21"/>
        </w:rPr>
        <w:t>The unused domains are not a problem — they are latent leverage. The risk is treating them as obligations rather than options. Options have value. Obligations drain focus. Until Roger has two active revenue streams generating $5K+/month each, the domains sit on the shelf — and that is the right call.</w:t>
      </w:r>
    </w:p>
    <w:p w14:paraId="2860614C" w14:textId="77777777" w:rsidR="00740BC9" w:rsidRDefault="00000000">
      <w:r>
        <w:br w:type="page"/>
      </w:r>
    </w:p>
    <w:p w14:paraId="14816D7D" w14:textId="77777777" w:rsidR="00740BC9" w:rsidRDefault="00000000">
      <w:pPr>
        <w:shd w:val="clear" w:color="auto" w:fill="1A2533"/>
        <w:spacing w:before="80" w:after="0"/>
      </w:pPr>
      <w:r>
        <w:rPr>
          <w:rFonts w:ascii="Calibri" w:hAnsi="Calibri"/>
          <w:b/>
          <w:color w:val="FFFFFF"/>
          <w:sz w:val="26"/>
        </w:rPr>
        <w:lastRenderedPageBreak/>
        <w:t xml:space="preserve">  06 — DIRECTOR'S SUMMARY  |  Roger Bauer  </w:t>
      </w:r>
    </w:p>
    <w:p w14:paraId="445215D3" w14:textId="77777777" w:rsidR="00740BC9" w:rsidRDefault="00740BC9">
      <w:pPr>
        <w:spacing w:after="160"/>
      </w:pPr>
    </w:p>
    <w:p w14:paraId="1C1C0916" w14:textId="77777777" w:rsidR="00740BC9" w:rsidRDefault="00000000">
      <w:pPr>
        <w:spacing w:after="160"/>
      </w:pPr>
      <w:r>
        <w:rPr>
          <w:rFonts w:ascii="Calibri" w:hAnsi="Calibri"/>
          <w:b/>
          <w:color w:val="1A2533"/>
        </w:rPr>
        <w:t>The clarity in this document took longer to get to than it should have. That is fine. Most people never get there at all.</w:t>
      </w:r>
    </w:p>
    <w:p w14:paraId="7A9544C4" w14:textId="77777777" w:rsidR="00740BC9" w:rsidRDefault="00000000">
      <w:pPr>
        <w:spacing w:after="120"/>
      </w:pPr>
      <w:r>
        <w:rPr>
          <w:rFonts w:ascii="Calibri" w:hAnsi="Calibri"/>
          <w:color w:val="333333"/>
          <w:sz w:val="21"/>
        </w:rPr>
        <w:t>Here is what I know to be true:</w:t>
      </w:r>
    </w:p>
    <w:p w14:paraId="4B7C00BF" w14:textId="77777777" w:rsidR="00740BC9" w:rsidRDefault="00000000">
      <w:pPr>
        <w:pStyle w:val="ListBullet"/>
        <w:spacing w:after="60"/>
        <w:ind w:left="288"/>
      </w:pPr>
      <w:r>
        <w:rPr>
          <w:rFonts w:ascii="Calibri" w:hAnsi="Calibri"/>
          <w:color w:val="333333"/>
          <w:sz w:val="21"/>
        </w:rPr>
        <w:t>The authority model is correct. Small business clients without the budget for premium positioning are a ceiling, not a market. Authority clients — professionals who can raise their own prices when their authority rises — are an unlimited market.</w:t>
      </w:r>
    </w:p>
    <w:p w14:paraId="6F358ECD" w14:textId="77777777" w:rsidR="00740BC9" w:rsidRDefault="00000000">
      <w:pPr>
        <w:pStyle w:val="ListBullet"/>
        <w:spacing w:after="60"/>
        <w:ind w:left="288"/>
      </w:pPr>
      <w:r>
        <w:rPr>
          <w:rFonts w:ascii="Calibri" w:hAnsi="Calibri"/>
          <w:color w:val="333333"/>
          <w:sz w:val="21"/>
        </w:rPr>
        <w:t>Two niches first. Everything else is a distraction until DMA and LGD each have a client, a result, and a story to tell.</w:t>
      </w:r>
    </w:p>
    <w:p w14:paraId="74B4527E" w14:textId="77777777" w:rsidR="00740BC9" w:rsidRDefault="00000000">
      <w:pPr>
        <w:pStyle w:val="ListBullet"/>
        <w:spacing w:after="60"/>
        <w:ind w:left="288"/>
      </w:pPr>
      <w:r>
        <w:rPr>
          <w:rFonts w:ascii="Calibri" w:hAnsi="Calibri"/>
          <w:color w:val="333333"/>
          <w:sz w:val="21"/>
        </w:rPr>
        <w:t>The team produces the work. The work becomes the proof. The proof closes the next client. That is the system.</w:t>
      </w:r>
    </w:p>
    <w:p w14:paraId="44CDAE13" w14:textId="77777777" w:rsidR="00740BC9" w:rsidRDefault="00000000">
      <w:pPr>
        <w:pStyle w:val="ListBullet"/>
        <w:spacing w:after="60"/>
        <w:ind w:left="288"/>
      </w:pPr>
      <w:r>
        <w:rPr>
          <w:rFonts w:ascii="Calibri" w:hAnsi="Calibri"/>
          <w:color w:val="333333"/>
          <w:sz w:val="21"/>
        </w:rPr>
        <w:t>Dormant assets are not failures. They are investments in future optionality. When the time is right, everything has a place.</w:t>
      </w:r>
    </w:p>
    <w:p w14:paraId="219BE3F3" w14:textId="77777777" w:rsidR="00740BC9" w:rsidRDefault="00740BC9"/>
    <w:p w14:paraId="74849AF8" w14:textId="77777777" w:rsidR="00740BC9" w:rsidRDefault="00000000">
      <w:pPr>
        <w:spacing w:after="240"/>
      </w:pPr>
      <w:r>
        <w:rPr>
          <w:rFonts w:ascii="Calibri" w:hAnsi="Calibri"/>
          <w:b/>
          <w:color w:val="25AAE1"/>
        </w:rPr>
        <w:t>The focus is set. The team is ready. The work starts now.</w:t>
      </w:r>
    </w:p>
    <w:p w14:paraId="1E3A170E" w14:textId="77777777" w:rsidR="00740BC9" w:rsidRDefault="00740BC9">
      <w:pPr>
        <w:pBdr>
          <w:bottom w:val="single" w:sz="4" w:space="1" w:color="DDDDDD"/>
        </w:pBdr>
        <w:spacing w:before="120" w:after="120"/>
      </w:pPr>
    </w:p>
    <w:p w14:paraId="35932A69" w14:textId="77777777" w:rsidR="00740BC9" w:rsidRDefault="00740BC9">
      <w:pPr>
        <w:spacing w:after="160"/>
      </w:pPr>
    </w:p>
    <w:tbl>
      <w:tblPr>
        <w:tblW w:w="0" w:type="auto"/>
        <w:tblLook w:val="04A0" w:firstRow="1" w:lastRow="0" w:firstColumn="1" w:lastColumn="0" w:noHBand="0" w:noVBand="1"/>
      </w:tblPr>
      <w:tblGrid>
        <w:gridCol w:w="4680"/>
        <w:gridCol w:w="4680"/>
      </w:tblGrid>
      <w:tr w:rsidR="00740BC9" w14:paraId="31F9691E" w14:textId="77777777">
        <w:tc>
          <w:tcPr>
            <w:tcW w:w="4680" w:type="dxa"/>
            <w:shd w:val="clear" w:color="auto" w:fill="F5F5F5"/>
          </w:tcPr>
          <w:p w14:paraId="69CECC11" w14:textId="77777777" w:rsidR="00740BC9" w:rsidRDefault="00000000">
            <w:pPr>
              <w:spacing w:before="160" w:after="160"/>
            </w:pPr>
            <w:r>
              <w:rPr>
                <w:rFonts w:ascii="Calibri" w:hAnsi="Calibri"/>
                <w:color w:val="58585A"/>
                <w:sz w:val="19"/>
              </w:rPr>
              <w:t xml:space="preserve">  Reviewed and approved by:</w:t>
            </w:r>
            <w:r>
              <w:rPr>
                <w:rFonts w:ascii="Calibri" w:hAnsi="Calibri"/>
                <w:color w:val="58585A"/>
                <w:sz w:val="19"/>
              </w:rPr>
              <w:br/>
            </w:r>
            <w:r>
              <w:rPr>
                <w:rFonts w:ascii="Calibri" w:hAnsi="Calibri"/>
                <w:color w:val="58585A"/>
                <w:sz w:val="19"/>
              </w:rPr>
              <w:br/>
              <w:t xml:space="preserve">  Daniel Frost, CSO</w:t>
            </w:r>
            <w:r>
              <w:rPr>
                <w:rFonts w:ascii="Calibri" w:hAnsi="Calibri"/>
                <w:color w:val="58585A"/>
                <w:sz w:val="19"/>
              </w:rPr>
              <w:br/>
              <w:t xml:space="preserve">  Tanya Blackwood, CRO</w:t>
            </w:r>
            <w:r>
              <w:rPr>
                <w:rFonts w:ascii="Calibri" w:hAnsi="Calibri"/>
                <w:color w:val="58585A"/>
                <w:sz w:val="19"/>
              </w:rPr>
              <w:br/>
              <w:t xml:space="preserve">  Preston Adler, COO</w:t>
            </w:r>
            <w:r>
              <w:rPr>
                <w:rFonts w:ascii="Calibri" w:hAnsi="Calibri"/>
                <w:color w:val="58585A"/>
                <w:sz w:val="19"/>
              </w:rPr>
              <w:br/>
              <w:t xml:space="preserve">  Iris Nolan, CTO</w:t>
            </w:r>
          </w:p>
        </w:tc>
        <w:tc>
          <w:tcPr>
            <w:tcW w:w="4680" w:type="dxa"/>
            <w:shd w:val="clear" w:color="auto" w:fill="EAF6FC"/>
          </w:tcPr>
          <w:p w14:paraId="3D77A4C8" w14:textId="77777777" w:rsidR="00740BC9" w:rsidRDefault="00000000">
            <w:pPr>
              <w:spacing w:before="160" w:after="160"/>
              <w:jc w:val="right"/>
            </w:pPr>
            <w:r>
              <w:rPr>
                <w:rFonts w:ascii="Calibri" w:hAnsi="Calibri"/>
                <w:color w:val="58585A"/>
                <w:sz w:val="18"/>
              </w:rPr>
              <w:t>Authority Systems Group™</w:t>
            </w:r>
            <w:r>
              <w:rPr>
                <w:rFonts w:ascii="Calibri" w:hAnsi="Calibri"/>
                <w:color w:val="58585A"/>
                <w:sz w:val="18"/>
              </w:rPr>
              <w:br/>
              <w:t>Portfolio Strategy Brief</w:t>
            </w:r>
            <w:r>
              <w:rPr>
                <w:rFonts w:ascii="Calibri" w:hAnsi="Calibri"/>
                <w:color w:val="58585A"/>
                <w:sz w:val="18"/>
              </w:rPr>
              <w:br/>
              <w:t>Version 1.0  |  March 8, 2026</w:t>
            </w:r>
            <w:r>
              <w:rPr>
                <w:rFonts w:ascii="Calibri" w:hAnsi="Calibri"/>
                <w:color w:val="58585A"/>
                <w:sz w:val="18"/>
              </w:rPr>
              <w:br/>
              <w:t xml:space="preserve">Director: Roger Bauer  </w:t>
            </w:r>
          </w:p>
        </w:tc>
      </w:tr>
    </w:tbl>
    <w:p w14:paraId="48428348" w14:textId="77777777" w:rsidR="00740BC9" w:rsidRDefault="00740BC9">
      <w:pPr>
        <w:spacing w:after="400"/>
      </w:pPr>
    </w:p>
    <w:p w14:paraId="3AB343C3" w14:textId="77777777" w:rsidR="00740BC9" w:rsidRDefault="00000000">
      <w:pPr>
        <w:spacing w:before="80" w:after="0"/>
        <w:jc w:val="center"/>
      </w:pPr>
      <w:r>
        <w:rPr>
          <w:rFonts w:ascii="Calibri" w:hAnsi="Calibri"/>
          <w:i/>
          <w:color w:val="888888"/>
          <w:sz w:val="16"/>
        </w:rPr>
        <w:t>Authority Systems Group™ — Confidential. Internal document. Not for distribution.</w:t>
      </w:r>
      <w:r>
        <w:rPr>
          <w:rFonts w:ascii="Calibri" w:hAnsi="Calibri"/>
          <w:i/>
          <w:color w:val="888888"/>
          <w:sz w:val="16"/>
        </w:rPr>
        <w:br/>
        <w:t>This document will be updated as portfolio priorities shift and case studies are documented.</w:t>
      </w:r>
    </w:p>
    <w:sectPr w:rsidR="00740BC9" w:rsidSect="00034616">
      <w:headerReference w:type="default" r:id="rId8"/>
      <w:footerReference w:type="default" r:id="rId9"/>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8C371F" w14:textId="77777777" w:rsidR="00981A88" w:rsidRDefault="00981A88">
      <w:pPr>
        <w:spacing w:after="0" w:line="240" w:lineRule="auto"/>
      </w:pPr>
      <w:r>
        <w:separator/>
      </w:r>
    </w:p>
  </w:endnote>
  <w:endnote w:type="continuationSeparator" w:id="0">
    <w:p w14:paraId="0BF75B28" w14:textId="77777777" w:rsidR="00981A88" w:rsidRDefault="00981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FDD52D" w14:textId="77777777" w:rsidR="00740BC9" w:rsidRDefault="00740BC9">
    <w:pPr>
      <w:pStyle w:val="Footer"/>
    </w:pPr>
  </w:p>
  <w:tbl>
    <w:tblPr>
      <w:tblW w:w="0" w:type="auto"/>
      <w:tblLook w:val="04A0" w:firstRow="1" w:lastRow="0" w:firstColumn="1" w:lastColumn="0" w:noHBand="0" w:noVBand="1"/>
    </w:tblPr>
    <w:tblGrid>
      <w:gridCol w:w="4680"/>
      <w:gridCol w:w="4680"/>
    </w:tblGrid>
    <w:tr w:rsidR="00740BC9" w14:paraId="0ACA0307" w14:textId="77777777">
      <w:tc>
        <w:tcPr>
          <w:tcW w:w="4680" w:type="dxa"/>
        </w:tcPr>
        <w:p w14:paraId="1EE7EBDA" w14:textId="77777777" w:rsidR="00740BC9" w:rsidRDefault="00000000">
          <w:r>
            <w:rPr>
              <w:rFonts w:ascii="Calibri" w:hAnsi="Calibri"/>
              <w:color w:val="888888"/>
              <w:sz w:val="16"/>
            </w:rPr>
            <w:t>Authority Systems Group™  —  Internal Strategic Document  —  Confidential</w:t>
          </w:r>
        </w:p>
      </w:tc>
      <w:tc>
        <w:tcPr>
          <w:tcW w:w="4680" w:type="dxa"/>
        </w:tcPr>
        <w:p w14:paraId="424FCF21" w14:textId="77777777" w:rsidR="00740BC9" w:rsidRDefault="00000000">
          <w:pPr>
            <w:jc w:val="right"/>
          </w:pPr>
          <w:r>
            <w:rPr>
              <w:rFonts w:ascii="Calibri" w:hAnsi="Calibri"/>
              <w:color w:val="888888"/>
              <w:sz w:val="16"/>
            </w:rPr>
            <w:fldChar w:fldCharType="begin"/>
          </w:r>
          <w:r>
            <w:rPr>
              <w:rFonts w:ascii="Calibri" w:hAnsi="Calibri"/>
              <w:color w:val="888888"/>
              <w:sz w:val="16"/>
            </w:rPr>
            <w:instrText>PAGE</w:instrText>
          </w:r>
          <w:r w:rsidR="003B43CA">
            <w:rPr>
              <w:rFonts w:ascii="Calibri" w:hAnsi="Calibri"/>
              <w:color w:val="888888"/>
              <w:sz w:val="16"/>
            </w:rPr>
            <w:fldChar w:fldCharType="separate"/>
          </w:r>
          <w:r w:rsidR="003B43CA">
            <w:rPr>
              <w:rFonts w:ascii="Calibri" w:hAnsi="Calibri"/>
              <w:noProof/>
              <w:color w:val="888888"/>
              <w:sz w:val="16"/>
            </w:rPr>
            <w:t>1</w:t>
          </w:r>
          <w:r>
            <w:rPr>
              <w:rFonts w:ascii="Calibri" w:hAnsi="Calibri"/>
              <w:color w:val="888888"/>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13A9F7" w14:textId="77777777" w:rsidR="00981A88" w:rsidRDefault="00981A88">
      <w:pPr>
        <w:spacing w:after="0" w:line="240" w:lineRule="auto"/>
      </w:pPr>
      <w:r>
        <w:separator/>
      </w:r>
    </w:p>
  </w:footnote>
  <w:footnote w:type="continuationSeparator" w:id="0">
    <w:p w14:paraId="06DEEACB" w14:textId="77777777" w:rsidR="00981A88" w:rsidRDefault="00981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AE3E00" w14:textId="77777777" w:rsidR="00740BC9" w:rsidRDefault="00740BC9">
    <w:pPr>
      <w:pStyle w:val="Header"/>
    </w:pPr>
  </w:p>
  <w:tbl>
    <w:tblPr>
      <w:tblW w:w="0" w:type="auto"/>
      <w:tblLook w:val="04A0" w:firstRow="1" w:lastRow="0" w:firstColumn="1" w:lastColumn="0" w:noHBand="0" w:noVBand="1"/>
    </w:tblPr>
    <w:tblGrid>
      <w:gridCol w:w="4680"/>
      <w:gridCol w:w="4680"/>
    </w:tblGrid>
    <w:tr w:rsidR="00740BC9" w14:paraId="290A72C6" w14:textId="77777777">
      <w:tc>
        <w:tcPr>
          <w:tcW w:w="4680" w:type="dxa"/>
        </w:tcPr>
        <w:p w14:paraId="328D5580" w14:textId="77777777" w:rsidR="00740BC9" w:rsidRDefault="00000000">
          <w:r>
            <w:rPr>
              <w:noProof/>
            </w:rPr>
            <w:drawing>
              <wp:inline distT="0" distB="0" distL="0" distR="0" wp14:anchorId="0CA2611A" wp14:editId="4C73D971">
                <wp:extent cx="1645920" cy="791439"/>
                <wp:effectExtent l="0" t="0" r="0" b="0"/>
                <wp:docPr id="1461541565" name="Picture 1461541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gFull.png"/>
                        <pic:cNvPicPr/>
                      </pic:nvPicPr>
                      <pic:blipFill>
                        <a:blip r:embed="rId1"/>
                        <a:stretch>
                          <a:fillRect/>
                        </a:stretch>
                      </pic:blipFill>
                      <pic:spPr>
                        <a:xfrm>
                          <a:off x="0" y="0"/>
                          <a:ext cx="1645920" cy="791439"/>
                        </a:xfrm>
                        <a:prstGeom prst="rect">
                          <a:avLst/>
                        </a:prstGeom>
                      </pic:spPr>
                    </pic:pic>
                  </a:graphicData>
                </a:graphic>
              </wp:inline>
            </w:drawing>
          </w:r>
        </w:p>
      </w:tc>
      <w:tc>
        <w:tcPr>
          <w:tcW w:w="4680" w:type="dxa"/>
        </w:tcPr>
        <w:p w14:paraId="7315DE9F" w14:textId="77777777" w:rsidR="00740BC9" w:rsidRDefault="00000000">
          <w:pPr>
            <w:jc w:val="right"/>
          </w:pPr>
          <w:r>
            <w:rPr>
              <w:rFonts w:ascii="Calibri" w:hAnsi="Calibri"/>
              <w:b/>
              <w:color w:val="888888"/>
              <w:sz w:val="16"/>
            </w:rPr>
            <w:t>PORTFOLIO STRATEGY BRIEF  |  MARCH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207841">
    <w:abstractNumId w:val="8"/>
  </w:num>
  <w:num w:numId="2" w16cid:durableId="1793327619">
    <w:abstractNumId w:val="6"/>
  </w:num>
  <w:num w:numId="3" w16cid:durableId="172573774">
    <w:abstractNumId w:val="5"/>
  </w:num>
  <w:num w:numId="4" w16cid:durableId="1426608487">
    <w:abstractNumId w:val="4"/>
  </w:num>
  <w:num w:numId="5" w16cid:durableId="2044355483">
    <w:abstractNumId w:val="7"/>
  </w:num>
  <w:num w:numId="6" w16cid:durableId="76169188">
    <w:abstractNumId w:val="3"/>
  </w:num>
  <w:num w:numId="7" w16cid:durableId="1716001336">
    <w:abstractNumId w:val="2"/>
  </w:num>
  <w:num w:numId="8" w16cid:durableId="847184207">
    <w:abstractNumId w:val="1"/>
  </w:num>
  <w:num w:numId="9" w16cid:durableId="145585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43CA"/>
    <w:rsid w:val="00426598"/>
    <w:rsid w:val="00740BC9"/>
    <w:rsid w:val="00981A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83008"/>
  <w14:defaultImageDpi w14:val="300"/>
  <w15:docId w15:val="{85A11883-AB73-674A-BA58-01986DB6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2547</Words>
  <Characters>14524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2</cp:revision>
  <dcterms:created xsi:type="dcterms:W3CDTF">2013-12-23T23:15:00Z</dcterms:created>
  <dcterms:modified xsi:type="dcterms:W3CDTF">2026-03-08T22:55:00Z</dcterms:modified>
  <cp:category/>
</cp:coreProperties>
</file>