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720" w:after="80"/>
        <w:jc w:val="center"/>
        <w:shd w:fill="1a1a1a" w:color="auto" w:val="clear"/>
      </w:pPr>
      <w:r>
        <w:rPr>
          <w:rFonts w:ascii="Calibri" w:hAnsi="Calibri"/>
          <w:b/>
          <w:i w:val="0"/>
          <w:color w:val="25AAE1"/>
          <w:sz w:val="26"/>
        </w:rPr>
        <w:t>AUTHORITY SYSTEMS GROUP™</w:t>
      </w:r>
    </w:p>
    <w:p>
      <w:pPr>
        <w:spacing w:before="40" w:after="160"/>
        <w:jc w:val="center"/>
        <w:shd w:fill="1a1a1a" w:color="auto" w:val="clear"/>
      </w:pPr>
      <w:r>
        <w:rPr>
          <w:rFonts w:ascii="Calibri" w:hAnsi="Calibri"/>
          <w:b w:val="0"/>
          <w:i/>
          <w:color w:val="888888"/>
          <w:sz w:val="20"/>
        </w:rPr>
        <w:t>Digital Intelligence Division</w:t>
      </w:r>
    </w:p>
    <w:p>
      <w:pPr>
        <w:spacing w:before="480" w:after="80"/>
        <w:jc w:val="center"/>
        <w:shd w:fill="1a1a1a" w:color="auto" w:val="clear"/>
      </w:pPr>
      <w:r>
        <w:rPr>
          <w:rFonts w:ascii="Calibri" w:hAnsi="Calibri"/>
          <w:b/>
          <w:i w:val="0"/>
          <w:color w:val="FFFFFF"/>
          <w:sz w:val="68"/>
        </w:rPr>
        <w:t>MARKETING AUDIT</w:t>
      </w:r>
    </w:p>
    <w:p>
      <w:pPr>
        <w:spacing w:before="80" w:after="80"/>
        <w:jc w:val="center"/>
        <w:shd w:fill="1a1a1a" w:color="auto" w:val="clear"/>
      </w:pPr>
      <w:r>
        <w:rPr>
          <w:rFonts w:ascii="Calibri" w:hAnsi="Calibri"/>
          <w:b w:val="0"/>
          <w:i w:val="0"/>
          <w:color w:val="25AAE1"/>
          <w:sz w:val="30"/>
        </w:rPr>
        <w:t>Digital Authority Assessment</w:t>
      </w:r>
    </w:p>
    <w:p>
      <w:pPr>
        <w:spacing w:before="320" w:after="320"/>
        <w:jc w:val="center"/>
        <w:shd w:fill="1a1a1a" w:color="auto" w:val="clear"/>
      </w:pPr>
      <w:r>
        <w:rPr>
          <w:rFonts w:ascii="Calibri" w:hAnsi="Calibri"/>
          <w:b w:val="0"/>
          <w:i w:val="0"/>
          <w:color w:val="444444"/>
          <w:sz w:val="24"/>
        </w:rPr>
        <w:t>——————————</w:t>
      </w:r>
    </w:p>
    <w:p>
      <w:pPr>
        <w:spacing w:before="200" w:after="80"/>
        <w:jc w:val="center"/>
        <w:shd w:fill="1a1a1a" w:color="auto" w:val="clear"/>
      </w:pPr>
      <w:r>
        <w:rPr>
          <w:rFonts w:ascii="Calibri" w:hAnsi="Calibri"/>
          <w:b/>
          <w:i w:val="0"/>
          <w:color w:val="FFFFFF"/>
          <w:sz w:val="52"/>
        </w:rPr>
        <w:t>Hedges Dental</w:t>
      </w:r>
    </w:p>
    <w:p>
      <w:pPr>
        <w:spacing w:before="80" w:after="80"/>
        <w:jc w:val="center"/>
        <w:shd w:fill="1a1a1a" w:color="auto" w:val="clear"/>
      </w:pPr>
      <w:r>
        <w:rPr>
          <w:rFonts w:ascii="Calibri" w:hAnsi="Calibri"/>
          <w:b w:val="0"/>
          <w:i w:val="0"/>
          <w:color w:val="CCCCCC"/>
          <w:sz w:val="28"/>
        </w:rPr>
        <w:t>Dr. Jeffrey Hedges, DMD</w:t>
      </w:r>
    </w:p>
    <w:p>
      <w:pPr>
        <w:spacing w:before="80" w:after="320"/>
        <w:jc w:val="center"/>
        <w:shd w:fill="1a1a1a" w:color="auto" w:val="clear"/>
      </w:pPr>
      <w:r>
        <w:rPr>
          <w:rFonts w:ascii="Calibri" w:hAnsi="Calibri"/>
          <w:b w:val="0"/>
          <w:i w:val="0"/>
          <w:color w:val="888888"/>
          <w:sz w:val="22"/>
        </w:rPr>
        <w:t>2015 Herr Lane Suite D  ·  Louisville, KY 40222</w:t>
      </w:r>
    </w:p>
    <w:p>
      <w:pPr>
        <w:spacing w:before="360" w:after="80"/>
        <w:jc w:val="center"/>
        <w:shd w:fill="1a1a1a" w:color="auto" w:val="clear"/>
      </w:pPr>
      <w:r>
        <w:rPr>
          <w:rFonts w:ascii="Calibri" w:hAnsi="Calibri"/>
          <w:b/>
          <w:i w:val="0"/>
          <w:color w:val="AAAAAA"/>
          <w:sz w:val="20"/>
        </w:rPr>
        <w:t>OVERALL MARKETING SCORE</w:t>
      </w:r>
    </w:p>
    <w:p>
      <w:pPr>
        <w:spacing w:before="40" w:after="40"/>
        <w:jc w:val="center"/>
        <w:shd w:fill="1a1a1a" w:color="auto" w:val="clear"/>
      </w:pPr>
      <w:r>
        <w:rPr>
          <w:rFonts w:ascii="Calibri" w:hAnsi="Calibri"/>
          <w:b/>
          <w:i w:val="0"/>
          <w:color w:val="FF5555"/>
          <w:sz w:val="104"/>
        </w:rPr>
        <w:t>22</w:t>
      </w:r>
    </w:p>
    <w:p>
      <w:pPr>
        <w:spacing w:before="0" w:after="40"/>
        <w:jc w:val="center"/>
        <w:shd w:fill="1a1a1a" w:color="auto" w:val="clear"/>
      </w:pPr>
      <w:r>
        <w:rPr>
          <w:rFonts w:ascii="Calibri" w:hAnsi="Calibri"/>
          <w:b w:val="0"/>
          <w:i w:val="0"/>
          <w:color w:val="FF8888"/>
          <w:sz w:val="24"/>
        </w:rPr>
        <w:t>out of 100  —  Grade: F  —  Critical</w:t>
      </w:r>
    </w:p>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240" w:after="80"/>
        <w:jc w:val="center"/>
        <w:shd w:fill="1a1a1a" w:color="auto" w:val="clear"/>
      </w:pPr>
      <w:r>
        <w:rPr>
          <w:rFonts w:ascii="Calibri" w:hAnsi="Calibri"/>
          <w:b w:val="0"/>
          <w:i/>
          <w:color w:val="777777"/>
          <w:sz w:val="20"/>
        </w:rPr>
        <w:t>Prepared by: Victor Hale, Director of Digital Intelligence</w:t>
      </w:r>
    </w:p>
    <w:p>
      <w:pPr>
        <w:spacing w:before="40" w:after="80"/>
        <w:jc w:val="center"/>
        <w:shd w:fill="1a1a1a" w:color="auto" w:val="clear"/>
      </w:pPr>
      <w:r>
        <w:rPr>
          <w:rFonts w:ascii="Calibri" w:hAnsi="Calibri"/>
          <w:b w:val="0"/>
          <w:i/>
          <w:color w:val="666666"/>
          <w:sz w:val="20"/>
        </w:rPr>
        <w:t>Directed by Roger Bauer  ·  Authority Systems Group™</w:t>
      </w:r>
    </w:p>
    <w:p>
      <w:pPr>
        <w:spacing w:before="160" w:after="120"/>
        <w:jc w:val="center"/>
        <w:shd w:fill="1a1a1a" w:color="auto" w:val="clear"/>
      </w:pPr>
      <w:r>
        <w:rPr>
          <w:rFonts w:ascii="Calibri" w:hAnsi="Calibri"/>
          <w:b w:val="0"/>
          <w:i w:val="0"/>
          <w:color w:val="444444"/>
          <w:sz w:val="18"/>
        </w:rPr>
        <w:t>March 2026  ·  CONFIDENTIAL — PREPARED EXCLUSIVELY FOR DR. JEFFREY HEDGES</w:t>
      </w:r>
    </w:p>
    <w:p>
      <w:r>
        <w:br w:type="page"/>
      </w:r>
    </w:p>
    <w:p>
      <w:pPr>
        <w:spacing w:before="0" w:after="60" w:line="288" w:lineRule="auto"/>
      </w:pPr>
      <w:r>
        <w:rPr>
          <w:rFonts w:ascii="Calibri" w:hAnsi="Calibri"/>
          <w:b/>
          <w:color w:val="58585A"/>
          <w:sz w:val="20"/>
        </w:rPr>
        <w:t>Prepared by:</w:t>
      </w:r>
      <w:r>
        <w:rPr>
          <w:rFonts w:ascii="Calibri" w:hAnsi="Calibri"/>
          <w:color w:val="58585A"/>
          <w:sz w:val="20"/>
        </w:rPr>
        <w:t xml:space="preserve"> Victor Hale, Director of Digital Intelligence | Authority Systems Group™</w:t>
      </w:r>
    </w:p>
    <w:p>
      <w:pPr>
        <w:spacing w:before="0" w:after="60" w:line="288" w:lineRule="auto"/>
      </w:pPr>
      <w:r>
        <w:rPr>
          <w:rFonts w:ascii="Calibri" w:hAnsi="Calibri"/>
          <w:b/>
          <w:color w:val="58585A"/>
          <w:sz w:val="20"/>
        </w:rPr>
        <w:t>Specialist Team:</w:t>
      </w:r>
      <w:r>
        <w:rPr>
          <w:rFonts w:ascii="Calibri" w:hAnsi="Calibri"/>
          <w:color w:val="58585A"/>
          <w:sz w:val="20"/>
        </w:rPr>
        <w:t xml:space="preserve"> Lena Park · Marcus Cole · Reid Foster · Anika Suri · Clay Donovan</w:t>
      </w:r>
    </w:p>
    <w:p>
      <w:pPr>
        <w:spacing w:before="0" w:after="60" w:line="288" w:lineRule="auto"/>
      </w:pPr>
      <w:r>
        <w:rPr>
          <w:rFonts w:ascii="Calibri" w:hAnsi="Calibri"/>
          <w:b/>
          <w:color w:val="58585A"/>
          <w:sz w:val="20"/>
        </w:rPr>
        <w:t>URLs Audited:</w:t>
      </w:r>
      <w:r>
        <w:rPr>
          <w:rFonts w:ascii="Calibri" w:hAnsi="Calibri"/>
          <w:color w:val="58585A"/>
          <w:sz w:val="20"/>
        </w:rPr>
        <w:t xml:space="preserve"> hedgesdental.com · toplouisvilledentist.com</w:t>
      </w:r>
    </w:p>
    <w:p>
      <w:pPr>
        <w:spacing w:before="0" w:after="60" w:line="288" w:lineRule="auto"/>
      </w:pPr>
      <w:r>
        <w:rPr>
          <w:rFonts w:ascii="Calibri" w:hAnsi="Calibri"/>
          <w:b/>
          <w:color w:val="58585A"/>
          <w:sz w:val="20"/>
        </w:rPr>
        <w:t>Client:</w:t>
      </w:r>
      <w:r>
        <w:rPr>
          <w:rFonts w:ascii="Calibri" w:hAnsi="Calibri"/>
          <w:color w:val="58585A"/>
          <w:sz w:val="20"/>
        </w:rPr>
        <w:t xml:space="preserve"> Dr. Jeffrey Hedges, DMD — Hedges Dental, Louisville, KY</w:t>
      </w:r>
    </w:p>
    <w:p>
      <w:pPr>
        <w:spacing w:before="0" w:after="60" w:line="288" w:lineRule="auto"/>
      </w:pPr>
      <w:r>
        <w:rPr>
          <w:rFonts w:ascii="Calibri" w:hAnsi="Calibri"/>
          <w:b/>
          <w:color w:val="58585A"/>
          <w:sz w:val="20"/>
        </w:rPr>
        <w:t>Date:</w:t>
      </w:r>
      <w:r>
        <w:rPr>
          <w:rFonts w:ascii="Calibri" w:hAnsi="Calibri"/>
          <w:color w:val="58585A"/>
          <w:sz w:val="20"/>
        </w:rPr>
        <w:t xml:space="preserve"> March 6, 2026</w:t>
      </w:r>
    </w:p>
    <w:p>
      <w:pPr>
        <w:spacing w:before="0" w:after="60" w:line="288" w:lineRule="auto"/>
      </w:pPr>
      <w:r>
        <w:rPr>
          <w:rFonts w:ascii="Calibri" w:hAnsi="Calibri"/>
          <w:b/>
          <w:color w:val="58585A"/>
          <w:sz w:val="20"/>
        </w:rPr>
        <w:t>Business Type:</w:t>
      </w:r>
      <w:r>
        <w:rPr>
          <w:rFonts w:ascii="Calibri" w:hAnsi="Calibri"/>
          <w:color w:val="58585A"/>
          <w:sz w:val="20"/>
        </w:rPr>
        <w:t xml:space="preserve"> Local Business — Dental Practice (Implant-Focused Transition)</w:t>
      </w:r>
    </w:p>
    <w:p>
      <w:pPr>
        <w:spacing w:before="80" w:after="240"/>
        <w:shd w:fill="1F3A5F" w:color="auto" w:val="clear"/>
      </w:pPr>
      <w:r>
        <w:rPr>
          <w:rFonts w:ascii="Calibri" w:hAnsi="Calibri"/>
          <w:b/>
          <w:color w:val="FFFFFF"/>
          <w:sz w:val="26"/>
        </w:rPr>
        <w:t xml:space="preserve">  Overall Marketing Score: 22/100 (Grade: F — Critical)  </w:t>
      </w:r>
    </w:p>
    <w:p>
      <w:pPr>
        <w:spacing w:before="0" w:after="60"/>
      </w:pPr>
    </w:p>
    <w:p>
      <w:pPr>
        <w:spacing w:before="80" w:after="80"/>
        <w:pBdr>
          <w:bottom w:val="single" w:sz="6" w:space="1" w:color="25aae1"/>
        </w:pBdr>
      </w:pPr>
    </w:p>
    <w:p>
      <w:pPr>
        <w:spacing w:before="0" w:after="60"/>
      </w:pPr>
    </w:p>
    <w:p>
      <w:r>
        <w:br w:type="page"/>
      </w:r>
    </w:p>
    <w:p>
      <w:pPr>
        <w:spacing w:before="0" w:after="160"/>
        <w:pBdr>
          <w:bottom w:val="single" w:sz="8" w:space="1" w:color="25aae1"/>
        </w:pBdr>
      </w:pPr>
      <w:r>
        <w:rPr>
          <w:rFonts w:ascii="Calibri" w:hAnsi="Calibri"/>
          <w:b/>
          <w:color w:val="25AAE1"/>
          <w:sz w:val="40"/>
        </w:rPr>
        <w:t>Executive Summary</w:t>
      </w:r>
    </w:p>
    <w:p>
      <w:pPr>
        <w:spacing w:before="0" w:after="60"/>
      </w:pPr>
    </w:p>
    <w:p>
      <w:pPr>
        <w:spacing w:before="0" w:after="120" w:line="336" w:lineRule="auto"/>
      </w:pPr>
      <w:r>
        <w:rPr>
          <w:rFonts w:ascii="Georgia" w:hAnsi="Georgia"/>
          <w:color w:val="333333"/>
          <w:sz w:val="22"/>
        </w:rPr>
        <w:t>Hedges Dental scores 22 out of 100 on the ASG composite marketing scale. This is a critical-grade result — not because the practice is failing clinically, but because the marketing infrastructure does not reflect the caliber of the work being done or the ambition of the growth goal. Dr. Hedges has the clinical training, the right location, the personal story, and the community trust to own the implant positioning in his market. None of that is visible anywhere online.</w:t>
      </w:r>
    </w:p>
    <w:p>
      <w:pPr>
        <w:spacing w:before="0" w:after="60"/>
      </w:pPr>
    </w:p>
    <w:p>
      <w:pPr>
        <w:spacing w:before="0" w:after="120" w:line="336" w:lineRule="auto"/>
      </w:pPr>
      <w:r>
        <w:rPr>
          <w:rFonts w:ascii="Georgia" w:hAnsi="Georgia"/>
          <w:color w:val="333333"/>
          <w:sz w:val="22"/>
        </w:rPr>
        <w:t>The single biggest finding of this audit is a positioning problem masquerading as a marketing problem. Dr. Hedges is trying to attract high-ticket implant patients while every digital asset he controls tells the market he is a friendly, affordable neighborhood dentist. That is not a bad thing to be — it is simply not what an implant patient is looking for when they are six months into researching who to trust with a $20,000 decision. The market categorizes him as a general dentist who also does implants. Until that changes at the positioning level, no volume of ads or social posts will produce the case flow he's after.</w:t>
      </w:r>
    </w:p>
    <w:p>
      <w:pPr>
        <w:spacing w:before="0" w:after="60"/>
      </w:pPr>
    </w:p>
    <w:p>
      <w:pPr>
        <w:spacing w:before="0" w:after="120" w:line="336" w:lineRule="auto"/>
      </w:pPr>
      <w:r>
        <w:rPr>
          <w:rFonts w:ascii="Georgia" w:hAnsi="Georgia"/>
          <w:color w:val="333333"/>
          <w:sz w:val="22"/>
        </w:rPr>
        <w:t>The second major finding is a competitive vulnerability that is also a competitive opportunity: ClearChoice Dental Implant Center operates in the same ZIP code (40222) on Viking Center Drive. ClearChoice spends more on advertising in a week than most independent dental practices spend in a year. They dominate awareness for full-arch implants in Louisville. But they charge 25–40% above market rate, do not accept dental insurance, and carry consistent criticism for financial transparency. Every one of those weaknesses is a direct positioning opportunity for Dr. Hedges — and currently, none of them are being exploited.</w:t>
      </w:r>
    </w:p>
    <w:p>
      <w:pPr>
        <w:spacing w:before="0" w:after="60"/>
      </w:pPr>
    </w:p>
    <w:p>
      <w:pPr>
        <w:spacing w:before="0" w:after="120" w:line="336" w:lineRule="auto"/>
      </w:pPr>
      <w:r>
        <w:rPr>
          <w:rFonts w:ascii="Georgia" w:hAnsi="Georgia"/>
          <w:color w:val="333333"/>
          <w:sz w:val="22"/>
        </w:rPr>
        <w:t>The third critical finding: Dr. Hedges already has a second domain — toplouisvilledentist.com — with a dedicated All-on-4 page and implant content. This shows real strategic intent that is ahead of most general dentists attempting the implant transition. The problem is that neither site is developed to the point where an implant-researching patient would feel confident enough to book. The infrastructure exists. The authority content does not.</w:t>
      </w:r>
    </w:p>
    <w:p>
      <w:pPr>
        <w:spacing w:before="0" w:after="60"/>
      </w:pPr>
    </w:p>
    <w:p>
      <w:pPr>
        <w:spacing w:before="0" w:after="120" w:line="336" w:lineRule="auto"/>
      </w:pPr>
      <w:r>
        <w:rPr>
          <w:rFonts w:ascii="Georgia" w:hAnsi="Georgia"/>
          <w:color w:val="333333"/>
          <w:sz w:val="22"/>
        </w:rPr>
        <w:t>At full maturity, implementing the recommendations in this audit is estimated to generate an additional $14,000–$32,000 per month in implant-case revenue (see Revenue Impact Summary for methodology). The highest-impact moves — reactivating dormant implant-diagnosed patients, rebuilding toplouisvilledentist.com as an implant-authority conversion site, and deploying a Google Business Profile strategy targeting "dental implants Louisville KY" — are executable within 30 days and require no ad spend.</w:t>
      </w:r>
    </w:p>
    <w:p>
      <w:pPr>
        <w:spacing w:before="0" w:after="60"/>
      </w:pPr>
    </w:p>
    <w:p>
      <w:pPr>
        <w:spacing w:before="80" w:after="80"/>
        <w:pBdr>
          <w:bottom w:val="single" w:sz="6" w:space="1" w:color="25aae1"/>
        </w:pBdr>
      </w:pPr>
    </w:p>
    <w:p>
      <w:pPr>
        <w:spacing w:before="0" w:after="60"/>
      </w:pPr>
    </w:p>
    <w:p>
      <w:r>
        <w:br w:type="page"/>
      </w:r>
    </w:p>
    <w:p>
      <w:pPr>
        <w:spacing w:before="0" w:after="160"/>
        <w:pBdr>
          <w:bottom w:val="single" w:sz="8" w:space="1" w:color="25aae1"/>
        </w:pBdr>
      </w:pPr>
      <w:r>
        <w:rPr>
          <w:rFonts w:ascii="Calibri" w:hAnsi="Calibri"/>
          <w:b/>
          <w:color w:val="25AAE1"/>
          <w:sz w:val="40"/>
        </w:rPr>
        <w:t>Score Breakdown</w:t>
      </w:r>
    </w:p>
    <w:p>
      <w:pPr>
        <w:spacing w:before="0" w:after="60"/>
      </w:pP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shd w:fill="25aae1" w:color="auto" w:val="clear"/>
          </w:tcPr>
          <w:p>
            <w:pPr>
              <w:jc w:val="center"/>
            </w:pPr>
            <w:r>
              <w:rPr>
                <w:rFonts w:ascii="Calibri" w:hAnsi="Calibri"/>
                <w:b/>
                <w:color w:val="FFFFFF"/>
                <w:sz w:val="19"/>
              </w:rPr>
              <w:t>Category</w:t>
            </w:r>
          </w:p>
        </w:tc>
        <w:tc>
          <w:tcPr>
            <w:tcW w:type="dxa" w:w="1800"/>
            <w:shd w:fill="25aae1" w:color="auto" w:val="clear"/>
          </w:tcPr>
          <w:p>
            <w:pPr>
              <w:jc w:val="center"/>
            </w:pPr>
            <w:r>
              <w:rPr>
                <w:rFonts w:ascii="Calibri" w:hAnsi="Calibri"/>
                <w:b/>
                <w:color w:val="FFFFFF"/>
                <w:sz w:val="19"/>
              </w:rPr>
              <w:t>Score</w:t>
            </w:r>
          </w:p>
        </w:tc>
        <w:tc>
          <w:tcPr>
            <w:tcW w:type="dxa" w:w="1800"/>
            <w:shd w:fill="25aae1" w:color="auto" w:val="clear"/>
          </w:tcPr>
          <w:p>
            <w:pPr>
              <w:jc w:val="center"/>
            </w:pPr>
            <w:r>
              <w:rPr>
                <w:rFonts w:ascii="Calibri" w:hAnsi="Calibri"/>
                <w:b/>
                <w:color w:val="FFFFFF"/>
                <w:sz w:val="19"/>
              </w:rPr>
              <w:t>Weight</w:t>
            </w:r>
          </w:p>
        </w:tc>
        <w:tc>
          <w:tcPr>
            <w:tcW w:type="dxa" w:w="1800"/>
            <w:shd w:fill="25aae1" w:color="auto" w:val="clear"/>
          </w:tcPr>
          <w:p>
            <w:pPr>
              <w:jc w:val="center"/>
            </w:pPr>
            <w:r>
              <w:rPr>
                <w:rFonts w:ascii="Calibri" w:hAnsi="Calibri"/>
                <w:b/>
                <w:color w:val="FFFFFF"/>
                <w:sz w:val="19"/>
              </w:rPr>
              <w:t>Weighted Score</w:t>
            </w:r>
          </w:p>
        </w:tc>
        <w:tc>
          <w:tcPr>
            <w:tcW w:type="dxa" w:w="1800"/>
            <w:shd w:fill="25aae1" w:color="auto" w:val="clear"/>
          </w:tcPr>
          <w:p>
            <w:pPr>
              <w:jc w:val="center"/>
            </w:pPr>
            <w:r>
              <w:rPr>
                <w:rFonts w:ascii="Calibri" w:hAnsi="Calibri"/>
                <w:b/>
                <w:color w:val="FFFFFF"/>
                <w:sz w:val="19"/>
              </w:rPr>
              <w:t>Key Finding</w:t>
            </w:r>
          </w:p>
        </w:tc>
      </w:tr>
      <w:tr>
        <w:tc>
          <w:tcPr>
            <w:tcW w:type="dxa" w:w="1800"/>
          </w:tcPr>
          <w:p>
            <w:r>
              <w:rPr>
                <w:rFonts w:ascii="Calibri" w:hAnsi="Calibri"/>
                <w:color w:val="333333"/>
                <w:sz w:val="19"/>
              </w:rPr>
              <w:t>Content &amp; Messaging</w:t>
            </w:r>
          </w:p>
        </w:tc>
        <w:tc>
          <w:tcPr>
            <w:tcW w:type="dxa" w:w="1800"/>
          </w:tcPr>
          <w:p>
            <w:r>
              <w:rPr>
                <w:rFonts w:ascii="Calibri" w:hAnsi="Calibri"/>
                <w:color w:val="333333"/>
                <w:sz w:val="19"/>
              </w:rPr>
              <w:t>21/100</w:t>
            </w:r>
          </w:p>
        </w:tc>
        <w:tc>
          <w:tcPr>
            <w:tcW w:type="dxa" w:w="1800"/>
          </w:tcPr>
          <w:p>
            <w:r>
              <w:rPr>
                <w:rFonts w:ascii="Calibri" w:hAnsi="Calibri"/>
                <w:color w:val="333333"/>
                <w:sz w:val="19"/>
              </w:rPr>
              <w:t>25%</w:t>
            </w:r>
          </w:p>
        </w:tc>
        <w:tc>
          <w:tcPr>
            <w:tcW w:type="dxa" w:w="1800"/>
          </w:tcPr>
          <w:p>
            <w:r>
              <w:rPr>
                <w:rFonts w:ascii="Calibri" w:hAnsi="Calibri"/>
                <w:color w:val="333333"/>
                <w:sz w:val="19"/>
              </w:rPr>
              <w:t>5.25</w:t>
            </w:r>
          </w:p>
        </w:tc>
        <w:tc>
          <w:tcPr>
            <w:tcW w:type="dxa" w:w="1800"/>
          </w:tcPr>
          <w:p>
            <w:r>
              <w:rPr>
                <w:rFonts w:ascii="Calibri" w:hAnsi="Calibri"/>
                <w:color w:val="333333"/>
                <w:sz w:val="19"/>
              </w:rPr>
              <w:t>Generic tagline, budget-conscious framing, zero implant authority narrative</w:t>
            </w:r>
          </w:p>
        </w:tc>
      </w:tr>
      <w:tr>
        <w:tc>
          <w:tcPr>
            <w:tcW w:type="dxa" w:w="1800"/>
            <w:shd w:fill="F5F5F5" w:color="auto" w:val="clear"/>
          </w:tcPr>
          <w:p>
            <w:r>
              <w:rPr>
                <w:rFonts w:ascii="Calibri" w:hAnsi="Calibri"/>
                <w:color w:val="333333"/>
                <w:sz w:val="19"/>
              </w:rPr>
              <w:t>Conversion Optimization</w:t>
            </w:r>
          </w:p>
        </w:tc>
        <w:tc>
          <w:tcPr>
            <w:tcW w:type="dxa" w:w="1800"/>
            <w:shd w:fill="F5F5F5" w:color="auto" w:val="clear"/>
          </w:tcPr>
          <w:p>
            <w:r>
              <w:rPr>
                <w:rFonts w:ascii="Calibri" w:hAnsi="Calibri"/>
                <w:color w:val="333333"/>
                <w:sz w:val="19"/>
              </w:rPr>
              <w:t>24/100</w:t>
            </w:r>
          </w:p>
        </w:tc>
        <w:tc>
          <w:tcPr>
            <w:tcW w:type="dxa" w:w="1800"/>
            <w:shd w:fill="F5F5F5" w:color="auto" w:val="clear"/>
          </w:tcPr>
          <w:p>
            <w:r>
              <w:rPr>
                <w:rFonts w:ascii="Calibri" w:hAnsi="Calibri"/>
                <w:color w:val="333333"/>
                <w:sz w:val="19"/>
              </w:rPr>
              <w:t>20%</w:t>
            </w:r>
          </w:p>
        </w:tc>
        <w:tc>
          <w:tcPr>
            <w:tcW w:type="dxa" w:w="1800"/>
            <w:shd w:fill="F5F5F5" w:color="auto" w:val="clear"/>
          </w:tcPr>
          <w:p>
            <w:r>
              <w:rPr>
                <w:rFonts w:ascii="Calibri" w:hAnsi="Calibri"/>
                <w:color w:val="333333"/>
                <w:sz w:val="19"/>
              </w:rPr>
              <w:t>4.80</w:t>
            </w:r>
          </w:p>
        </w:tc>
        <w:tc>
          <w:tcPr>
            <w:tcW w:type="dxa" w:w="1800"/>
            <w:shd w:fill="F5F5F5" w:color="auto" w:val="clear"/>
          </w:tcPr>
          <w:p>
            <w:r>
              <w:rPr>
                <w:rFonts w:ascii="Calibri" w:hAnsi="Calibri"/>
                <w:color w:val="333333"/>
                <w:sz w:val="19"/>
              </w:rPr>
              <w:t>Single CTA, no financing callout, no lead capture, no consultation funnel</w:t>
            </w:r>
          </w:p>
        </w:tc>
      </w:tr>
      <w:tr>
        <w:tc>
          <w:tcPr>
            <w:tcW w:type="dxa" w:w="1800"/>
          </w:tcPr>
          <w:p>
            <w:r>
              <w:rPr>
                <w:rFonts w:ascii="Calibri" w:hAnsi="Calibri"/>
                <w:color w:val="333333"/>
                <w:sz w:val="19"/>
              </w:rPr>
              <w:t>SEO &amp; Discoverability</w:t>
            </w:r>
          </w:p>
        </w:tc>
        <w:tc>
          <w:tcPr>
            <w:tcW w:type="dxa" w:w="1800"/>
          </w:tcPr>
          <w:p>
            <w:r>
              <w:rPr>
                <w:rFonts w:ascii="Calibri" w:hAnsi="Calibri"/>
                <w:color w:val="333333"/>
                <w:sz w:val="19"/>
              </w:rPr>
              <w:t>27/100</w:t>
            </w:r>
          </w:p>
        </w:tc>
        <w:tc>
          <w:tcPr>
            <w:tcW w:type="dxa" w:w="1800"/>
          </w:tcPr>
          <w:p>
            <w:r>
              <w:rPr>
                <w:rFonts w:ascii="Calibri" w:hAnsi="Calibri"/>
                <w:color w:val="333333"/>
                <w:sz w:val="19"/>
              </w:rPr>
              <w:t>20%</w:t>
            </w:r>
          </w:p>
        </w:tc>
        <w:tc>
          <w:tcPr>
            <w:tcW w:type="dxa" w:w="1800"/>
          </w:tcPr>
          <w:p>
            <w:r>
              <w:rPr>
                <w:rFonts w:ascii="Calibri" w:hAnsi="Calibri"/>
                <w:color w:val="333333"/>
                <w:sz w:val="19"/>
              </w:rPr>
              <w:t>5.40</w:t>
            </w:r>
          </w:p>
        </w:tc>
        <w:tc>
          <w:tcPr>
            <w:tcW w:type="dxa" w:w="1800"/>
          </w:tcPr>
          <w:p>
            <w:r>
              <w:rPr>
                <w:rFonts w:ascii="Calibri" w:hAnsi="Calibri"/>
                <w:color w:val="333333"/>
                <w:sz w:val="19"/>
              </w:rPr>
              <w:t>Two-domain strategy shows intent; neither domain has content to rank</w:t>
            </w:r>
          </w:p>
        </w:tc>
      </w:tr>
      <w:tr>
        <w:tc>
          <w:tcPr>
            <w:tcW w:type="dxa" w:w="1800"/>
            <w:shd w:fill="F5F5F5" w:color="auto" w:val="clear"/>
          </w:tcPr>
          <w:p>
            <w:r>
              <w:rPr>
                <w:rFonts w:ascii="Calibri" w:hAnsi="Calibri"/>
                <w:color w:val="333333"/>
                <w:sz w:val="19"/>
              </w:rPr>
              <w:t>Competitive Positioning</w:t>
            </w:r>
          </w:p>
        </w:tc>
        <w:tc>
          <w:tcPr>
            <w:tcW w:type="dxa" w:w="1800"/>
            <w:shd w:fill="F5F5F5" w:color="auto" w:val="clear"/>
          </w:tcPr>
          <w:p>
            <w:r>
              <w:rPr>
                <w:rFonts w:ascii="Calibri" w:hAnsi="Calibri"/>
                <w:color w:val="333333"/>
                <w:sz w:val="19"/>
              </w:rPr>
              <w:t>15/100</w:t>
            </w:r>
          </w:p>
        </w:tc>
        <w:tc>
          <w:tcPr>
            <w:tcW w:type="dxa" w:w="1800"/>
            <w:shd w:fill="F5F5F5" w:color="auto" w:val="clear"/>
          </w:tcPr>
          <w:p>
            <w:r>
              <w:rPr>
                <w:rFonts w:ascii="Calibri" w:hAnsi="Calibri"/>
                <w:color w:val="333333"/>
                <w:sz w:val="19"/>
              </w:rPr>
              <w:t>15%</w:t>
            </w:r>
          </w:p>
        </w:tc>
        <w:tc>
          <w:tcPr>
            <w:tcW w:type="dxa" w:w="1800"/>
            <w:shd w:fill="F5F5F5" w:color="auto" w:val="clear"/>
          </w:tcPr>
          <w:p>
            <w:r>
              <w:rPr>
                <w:rFonts w:ascii="Calibri" w:hAnsi="Calibri"/>
                <w:color w:val="333333"/>
                <w:sz w:val="19"/>
              </w:rPr>
              <w:t>2.25</w:t>
            </w:r>
          </w:p>
        </w:tc>
        <w:tc>
          <w:tcPr>
            <w:tcW w:type="dxa" w:w="1800"/>
            <w:shd w:fill="F5F5F5" w:color="auto" w:val="clear"/>
          </w:tcPr>
          <w:p>
            <w:r>
              <w:rPr>
                <w:rFonts w:ascii="Calibri" w:hAnsi="Calibri"/>
                <w:color w:val="333333"/>
                <w:sz w:val="19"/>
              </w:rPr>
              <w:t>ClearChoice in same ZIP, two specialist groups in market — no visible differentiation</w:t>
            </w:r>
          </w:p>
        </w:tc>
      </w:tr>
      <w:tr>
        <w:tc>
          <w:tcPr>
            <w:tcW w:type="dxa" w:w="1800"/>
          </w:tcPr>
          <w:p>
            <w:r>
              <w:rPr>
                <w:rFonts w:ascii="Calibri" w:hAnsi="Calibri"/>
                <w:color w:val="333333"/>
                <w:sz w:val="19"/>
              </w:rPr>
              <w:t>Brand &amp; Trust</w:t>
            </w:r>
          </w:p>
        </w:tc>
        <w:tc>
          <w:tcPr>
            <w:tcW w:type="dxa" w:w="1800"/>
          </w:tcPr>
          <w:p>
            <w:r>
              <w:rPr>
                <w:rFonts w:ascii="Calibri" w:hAnsi="Calibri"/>
                <w:color w:val="333333"/>
                <w:sz w:val="19"/>
              </w:rPr>
              <w:t>23/100</w:t>
            </w:r>
          </w:p>
        </w:tc>
        <w:tc>
          <w:tcPr>
            <w:tcW w:type="dxa" w:w="1800"/>
          </w:tcPr>
          <w:p>
            <w:r>
              <w:rPr>
                <w:rFonts w:ascii="Calibri" w:hAnsi="Calibri"/>
                <w:color w:val="333333"/>
                <w:sz w:val="19"/>
              </w:rPr>
              <w:t>10%</w:t>
            </w:r>
          </w:p>
        </w:tc>
        <w:tc>
          <w:tcPr>
            <w:tcW w:type="dxa" w:w="1800"/>
          </w:tcPr>
          <w:p>
            <w:r>
              <w:rPr>
                <w:rFonts w:ascii="Calibri" w:hAnsi="Calibri"/>
                <w:color w:val="333333"/>
                <w:sz w:val="19"/>
              </w:rPr>
              <w:t>2.30</w:t>
            </w:r>
          </w:p>
        </w:tc>
        <w:tc>
          <w:tcPr>
            <w:tcW w:type="dxa" w:w="1800"/>
          </w:tcPr>
          <w:p>
            <w:r>
              <w:rPr>
                <w:rFonts w:ascii="Calibri" w:hAnsi="Calibri"/>
                <w:color w:val="333333"/>
                <w:sz w:val="19"/>
              </w:rPr>
              <w:t>Neighborhood Favorite on Nextdoor (10 neighborhoods) — not leveraged anywhere</w:t>
            </w:r>
          </w:p>
        </w:tc>
      </w:tr>
      <w:tr>
        <w:tc>
          <w:tcPr>
            <w:tcW w:type="dxa" w:w="1800"/>
            <w:shd w:fill="F5F5F5" w:color="auto" w:val="clear"/>
          </w:tcPr>
          <w:p>
            <w:r>
              <w:rPr>
                <w:rFonts w:ascii="Calibri" w:hAnsi="Calibri"/>
                <w:color w:val="333333"/>
                <w:sz w:val="19"/>
              </w:rPr>
              <w:t>Growth &amp; Strategy</w:t>
            </w:r>
          </w:p>
        </w:tc>
        <w:tc>
          <w:tcPr>
            <w:tcW w:type="dxa" w:w="1800"/>
            <w:shd w:fill="F5F5F5" w:color="auto" w:val="clear"/>
          </w:tcPr>
          <w:p>
            <w:r>
              <w:rPr>
                <w:rFonts w:ascii="Calibri" w:hAnsi="Calibri"/>
                <w:color w:val="333333"/>
                <w:sz w:val="19"/>
              </w:rPr>
              <w:t>22/100</w:t>
            </w:r>
          </w:p>
        </w:tc>
        <w:tc>
          <w:tcPr>
            <w:tcW w:type="dxa" w:w="1800"/>
            <w:shd w:fill="F5F5F5" w:color="auto" w:val="clear"/>
          </w:tcPr>
          <w:p>
            <w:r>
              <w:rPr>
                <w:rFonts w:ascii="Calibri" w:hAnsi="Calibri"/>
                <w:color w:val="333333"/>
                <w:sz w:val="19"/>
              </w:rPr>
              <w:t>10%</w:t>
            </w:r>
          </w:p>
        </w:tc>
        <w:tc>
          <w:tcPr>
            <w:tcW w:type="dxa" w:w="1800"/>
            <w:shd w:fill="F5F5F5" w:color="auto" w:val="clear"/>
          </w:tcPr>
          <w:p>
            <w:r>
              <w:rPr>
                <w:rFonts w:ascii="Calibri" w:hAnsi="Calibri"/>
                <w:color w:val="333333"/>
                <w:sz w:val="19"/>
              </w:rPr>
              <w:t>2.20</w:t>
            </w:r>
          </w:p>
        </w:tc>
        <w:tc>
          <w:tcPr>
            <w:tcW w:type="dxa" w:w="1800"/>
            <w:shd w:fill="F5F5F5" w:color="auto" w:val="clear"/>
          </w:tcPr>
          <w:p>
            <w:r>
              <w:rPr>
                <w:rFonts w:ascii="Calibri" w:hAnsi="Calibri"/>
                <w:color w:val="333333"/>
                <w:sz w:val="19"/>
              </w:rPr>
              <w:t>Two-domain approach is smart; both domains underbuilt</w:t>
            </w:r>
          </w:p>
        </w:tc>
      </w:tr>
      <w:tr>
        <w:tc>
          <w:tcPr>
            <w:tcW w:type="dxa" w:w="1800"/>
            <w:shd w:fill="2D6A8A" w:color="auto" w:val="clear"/>
          </w:tcPr>
          <w:p>
            <w:r>
              <w:rPr>
                <w:rFonts w:ascii="Calibri" w:hAnsi="Calibri"/>
                <w:b/>
                <w:color w:val="FFFFFF"/>
                <w:sz w:val="19"/>
              </w:rPr>
              <w:t>TOTAL</w:t>
            </w:r>
          </w:p>
        </w:tc>
        <w:tc>
          <w:tcPr>
            <w:tcW w:type="dxa" w:w="1800"/>
            <w:shd w:fill="2D6A8A" w:color="auto" w:val="clear"/>
          </w:tcPr>
          <w:p>
            <w:r>
              <w:rPr>
                <w:rFonts w:ascii="Calibri" w:hAnsi="Calibri"/>
                <w:b/>
                <w:color w:val="FFFFFF"/>
                <w:sz w:val="19"/>
              </w:rPr>
            </w:r>
          </w:p>
        </w:tc>
        <w:tc>
          <w:tcPr>
            <w:tcW w:type="dxa" w:w="1800"/>
            <w:shd w:fill="2D6A8A" w:color="auto" w:val="clear"/>
          </w:tcPr>
          <w:p>
            <w:r>
              <w:rPr>
                <w:rFonts w:ascii="Calibri" w:hAnsi="Calibri"/>
                <w:b/>
                <w:color w:val="FFFFFF"/>
                <w:sz w:val="19"/>
              </w:rPr>
              <w:t>100%</w:t>
            </w:r>
          </w:p>
        </w:tc>
        <w:tc>
          <w:tcPr>
            <w:tcW w:type="dxa" w:w="1800"/>
            <w:shd w:fill="2D6A8A" w:color="auto" w:val="clear"/>
          </w:tcPr>
          <w:p>
            <w:r>
              <w:rPr>
                <w:rFonts w:ascii="Calibri" w:hAnsi="Calibri"/>
                <w:b/>
                <w:color w:val="FFFFFF"/>
                <w:sz w:val="19"/>
              </w:rPr>
              <w:t>22/100</w:t>
            </w:r>
          </w:p>
        </w:tc>
        <w:tc>
          <w:tcPr>
            <w:tcW w:type="dxa" w:w="1800"/>
            <w:shd w:fill="2D6A8A" w:color="auto" w:val="clear"/>
          </w:tcPr>
          <w:p>
            <w:r>
              <w:rPr>
                <w:rFonts w:ascii="Calibri" w:hAnsi="Calibri"/>
                <w:b/>
                <w:color w:val="FFFFFF"/>
                <w:sz w:val="19"/>
              </w:rPr>
              <w:t>Grade: F — Critical overhaul required</w:t>
            </w:r>
          </w:p>
        </w:tc>
      </w:tr>
    </w:tbl>
    <w:p/>
    <w:p>
      <w:pPr>
        <w:spacing w:before="0" w:after="60"/>
      </w:pPr>
    </w:p>
    <w:p>
      <w:pPr>
        <w:spacing w:before="80" w:after="80"/>
        <w:pBdr>
          <w:bottom w:val="single" w:sz="6" w:space="1" w:color="25aae1"/>
        </w:pBdr>
      </w:pPr>
    </w:p>
    <w:p>
      <w:pPr>
        <w:spacing w:before="0" w:after="60"/>
      </w:pPr>
    </w:p>
    <w:p>
      <w:r>
        <w:br w:type="page"/>
      </w:r>
    </w:p>
    <w:p>
      <w:pPr>
        <w:spacing w:before="0" w:after="160"/>
        <w:pBdr>
          <w:bottom w:val="single" w:sz="8" w:space="1" w:color="25aae1"/>
        </w:pBdr>
      </w:pPr>
      <w:r>
        <w:rPr>
          <w:rFonts w:ascii="Calibri" w:hAnsi="Calibri"/>
          <w:b/>
          <w:color w:val="25AAE1"/>
          <w:sz w:val="40"/>
        </w:rPr>
        <w:t>Quick Wins (This Week)</w:t>
      </w:r>
    </w:p>
    <w:p>
      <w:pPr>
        <w:spacing w:before="0" w:after="60"/>
      </w:pPr>
    </w:p>
    <w:p>
      <w:pPr>
        <w:spacing w:before="320" w:after="120"/>
        <w:pBdr>
          <w:bottom w:val="single" w:sz="4" w:space="1" w:color="CCCCCC"/>
        </w:pBdr>
      </w:pPr>
      <w:r>
        <w:rPr>
          <w:rFonts w:ascii="Calibri" w:hAnsi="Calibri"/>
          <w:b/>
          <w:color w:val="58585A"/>
          <w:sz w:val="26"/>
        </w:rPr>
        <w:t>QW-1: Replace the Homepage Headline on Both Sites</w:t>
      </w:r>
    </w:p>
    <w:p>
      <w:pPr>
        <w:spacing w:before="0" w:after="60" w:line="288" w:lineRule="auto"/>
      </w:pPr>
      <w:r>
        <w:rPr>
          <w:rFonts w:ascii="Calibri" w:hAnsi="Calibri"/>
          <w:b/>
          <w:color w:val="58585A"/>
          <w:sz w:val="20"/>
        </w:rPr>
        <w:t>Current:</w:t>
      </w:r>
      <w:r>
        <w:rPr>
          <w:rFonts w:ascii="Calibri" w:hAnsi="Calibri"/>
          <w:color w:val="58585A"/>
          <w:sz w:val="20"/>
        </w:rPr>
        <w:t xml:space="preserve"> "Professional care with a personal touch"</w:t>
      </w:r>
    </w:p>
    <w:p>
      <w:pPr>
        <w:spacing w:before="0" w:after="60" w:line="288" w:lineRule="auto"/>
      </w:pPr>
      <w:r>
        <w:rPr>
          <w:rFonts w:ascii="Calibri" w:hAnsi="Calibri"/>
          <w:b/>
          <w:color w:val="58585A"/>
          <w:sz w:val="20"/>
        </w:rPr>
        <w:t>Why it fails:</w:t>
      </w:r>
      <w:r>
        <w:rPr>
          <w:rFonts w:ascii="Calibri" w:hAnsi="Calibri"/>
          <w:color w:val="58585A"/>
          <w:sz w:val="20"/>
        </w:rPr>
        <w:t xml:space="preserve"> This is the single most generic headline in the history of dentistry. It signals nothing about implants, nothing about expertise, and nothing that distinguishes Dr. Hedges from the 200 other dentists in Louisville who could use the identical line. An implant-curious patient who lands on this page and reads "professional care with a personal touch" has no reason to stay.</w:t>
      </w:r>
    </w:p>
    <w:p>
      <w:pPr>
        <w:spacing w:before="0" w:after="60" w:line="288" w:lineRule="auto"/>
      </w:pPr>
      <w:r>
        <w:rPr>
          <w:rFonts w:ascii="Calibri" w:hAnsi="Calibri"/>
          <w:b/>
          <w:color w:val="58585A"/>
          <w:sz w:val="20"/>
        </w:rPr>
        <w:t>Replace with (hedgesdental.com):</w:t>
      </w:r>
    </w:p>
    <w:p>
      <w:pPr>
        <w:spacing w:before="200" w:after="200"/>
        <w:ind w:left="360"/>
        <w:shd w:fill="F5F5F5" w:color="auto" w:val="clear"/>
        <w:pBdr>
          <w:left w:val="single" w:sz="24" w:space="144" w:color="25aae1"/>
        </w:pBdr>
      </w:pPr>
      <w:r>
        <w:rPr>
          <w:rFonts w:ascii="Calibri" w:hAnsi="Calibri"/>
          <w:i/>
          <w:color w:val="58585A"/>
          <w:sz w:val="22"/>
        </w:rPr>
        <w:t>"Louisville's Implant Dentist — From the First Consultation to Your Final Smile, We Do It All."</w:t>
      </w:r>
    </w:p>
    <w:p>
      <w:pPr>
        <w:spacing w:before="0" w:after="60"/>
      </w:pPr>
    </w:p>
    <w:p>
      <w:pPr>
        <w:spacing w:before="0" w:after="60" w:line="288" w:lineRule="auto"/>
      </w:pPr>
      <w:r>
        <w:rPr>
          <w:rFonts w:ascii="Calibri" w:hAnsi="Calibri"/>
          <w:b/>
          <w:color w:val="58585A"/>
          <w:sz w:val="20"/>
        </w:rPr>
        <w:t>Replace with (toplouisvilledentist.com):</w:t>
      </w:r>
    </w:p>
    <w:p>
      <w:pPr>
        <w:spacing w:before="200" w:after="200"/>
        <w:ind w:left="360"/>
        <w:shd w:fill="F5F5F5" w:color="auto" w:val="clear"/>
        <w:pBdr>
          <w:left w:val="single" w:sz="24" w:space="144" w:color="25aae1"/>
        </w:pBdr>
      </w:pPr>
      <w:r>
        <w:rPr>
          <w:rFonts w:ascii="Calibri" w:hAnsi="Calibri"/>
          <w:i/>
          <w:color w:val="58585A"/>
          <w:sz w:val="22"/>
        </w:rPr>
        <w:t>"Get Your Smile Back. Louisville's Trusted Implant Dentist — Single Implants, Full Arch, and Everything Between."</w:t>
      </w:r>
    </w:p>
    <w:p>
      <w:pPr>
        <w:spacing w:before="0" w:after="60"/>
      </w:pPr>
    </w:p>
    <w:p>
      <w:pPr>
        <w:spacing w:before="0" w:after="60" w:line="288" w:lineRule="auto"/>
      </w:pPr>
      <w:r>
        <w:rPr>
          <w:rFonts w:ascii="Calibri" w:hAnsi="Calibri"/>
          <w:b/>
          <w:color w:val="58585A"/>
          <w:sz w:val="20"/>
        </w:rPr>
        <w:t>Where:</w:t>
      </w:r>
      <w:r>
        <w:rPr>
          <w:rFonts w:ascii="Calibri" w:hAnsi="Calibri"/>
          <w:color w:val="58585A"/>
          <w:sz w:val="20"/>
        </w:rPr>
        <w:t xml:space="preserve"> Homepage H1 on both sites.</w:t>
      </w:r>
    </w:p>
    <w:p>
      <w:pPr>
        <w:spacing w:before="0" w:after="60" w:line="288" w:lineRule="auto"/>
      </w:pPr>
      <w:r>
        <w:rPr>
          <w:rFonts w:ascii="Calibri" w:hAnsi="Calibri"/>
          <w:b/>
          <w:color w:val="58585A"/>
          <w:sz w:val="20"/>
        </w:rPr>
        <w:t>Impact:</w:t>
      </w:r>
      <w:r>
        <w:rPr>
          <w:rFonts w:ascii="Calibri" w:hAnsi="Calibri"/>
          <w:color w:val="58585A"/>
          <w:sz w:val="20"/>
        </w:rPr>
        <w:t xml:space="preserve"> Immediate repositioning in the visitor's mind. First impression changes from "neighborhood dentist" to "implant specialist."</w:t>
      </w:r>
    </w:p>
    <w:p>
      <w:pPr>
        <w:spacing w:before="0" w:after="60" w:line="288" w:lineRule="auto"/>
      </w:pPr>
      <w:r>
        <w:rPr>
          <w:rFonts w:ascii="Calibri" w:hAnsi="Calibri"/>
          <w:b/>
          <w:color w:val="58585A"/>
          <w:sz w:val="20"/>
        </w:rPr>
        <w:t>Effort:</w:t>
      </w:r>
      <w:r>
        <w:rPr>
          <w:rFonts w:ascii="Calibri" w:hAnsi="Calibri"/>
          <w:color w:val="58585A"/>
          <w:sz w:val="20"/>
        </w:rPr>
        <w:t xml:space="preserve"> 30 minutes.</w:t>
      </w:r>
    </w:p>
    <w:p>
      <w:pPr>
        <w:spacing w:before="0" w:after="60"/>
      </w:pPr>
    </w:p>
    <w:p>
      <w:pPr>
        <w:spacing w:before="80" w:after="80"/>
        <w:pBdr>
          <w:bottom w:val="single" w:sz="6" w:space="1" w:color="25aae1"/>
        </w:pBdr>
      </w:pPr>
    </w:p>
    <w:p>
      <w:pPr>
        <w:spacing w:before="0" w:after="60"/>
      </w:pPr>
    </w:p>
    <w:p>
      <w:pPr>
        <w:spacing w:before="320" w:after="120"/>
        <w:pBdr>
          <w:bottom w:val="single" w:sz="4" w:space="1" w:color="CCCCCC"/>
        </w:pBdr>
      </w:pPr>
      <w:r>
        <w:rPr>
          <w:rFonts w:ascii="Calibri" w:hAnsi="Calibri"/>
          <w:b/>
          <w:color w:val="58585A"/>
          <w:sz w:val="26"/>
        </w:rPr>
        <w:t>QW-2: Add CareCredit Financing Callout to All Implant Pages</w:t>
      </w:r>
    </w:p>
    <w:p>
      <w:pPr>
        <w:spacing w:before="0" w:after="60" w:line="288" w:lineRule="auto"/>
      </w:pPr>
      <w:r>
        <w:rPr>
          <w:rFonts w:ascii="Calibri" w:hAnsi="Calibri"/>
          <w:b/>
          <w:color w:val="58585A"/>
          <w:sz w:val="20"/>
        </w:rPr>
        <w:t>Current situation:</w:t>
      </w:r>
      <w:r>
        <w:rPr>
          <w:rFonts w:ascii="Calibri" w:hAnsi="Calibri"/>
          <w:color w:val="58585A"/>
          <w:sz w:val="20"/>
        </w:rPr>
        <w:t xml:space="preserve"> Hedges Dental is a verified CareCredit provider. This appears on the CareCredit doctor locator. It appears nowhere on the practice websites.</w:t>
      </w:r>
    </w:p>
    <w:p>
      <w:pPr>
        <w:spacing w:before="0" w:after="60" w:line="288" w:lineRule="auto"/>
      </w:pPr>
      <w:r>
        <w:rPr>
          <w:rFonts w:ascii="Calibri" w:hAnsi="Calibri"/>
          <w:b/>
          <w:color w:val="58585A"/>
          <w:sz w:val="20"/>
        </w:rPr>
        <w:t>Why it matters:</w:t>
      </w:r>
      <w:r>
        <w:rPr>
          <w:rFonts w:ascii="Calibri" w:hAnsi="Calibri"/>
          <w:color w:val="58585A"/>
          <w:sz w:val="20"/>
        </w:rPr>
        <w:t xml:space="preserve"> The #1 barrier to implant case acceptance is perceived cost — not actual cost. A patient researching a $5,000 single implant is really asking: "Can I afford this?" If the answer to that question is not on your page, they go find the answer somewhere else and don't come back.</w:t>
      </w:r>
    </w:p>
    <w:p>
      <w:pPr>
        <w:spacing w:before="0" w:after="60" w:line="288" w:lineRule="auto"/>
      </w:pPr>
      <w:r>
        <w:rPr>
          <w:rFonts w:ascii="Calibri" w:hAnsi="Calibri"/>
          <w:b/>
          <w:color w:val="58585A"/>
          <w:sz w:val="20"/>
        </w:rPr>
        <w:t>Add to every implant page:</w:t>
      </w:r>
    </w:p>
    <w:p>
      <w:pPr>
        <w:spacing w:before="200" w:after="200"/>
        <w:ind w:left="360"/>
        <w:shd w:fill="F5F5F5" w:color="auto" w:val="clear"/>
        <w:pBdr>
          <w:left w:val="single" w:sz="24" w:space="144" w:color="25aae1"/>
        </w:pBdr>
      </w:pPr>
      <w:r>
        <w:rPr>
          <w:rFonts w:ascii="Calibri" w:hAnsi="Calibri"/>
          <w:i/>
          <w:color w:val="58585A"/>
          <w:sz w:val="22"/>
        </w:rPr>
        <w:t>"Flexible financing available through CareCredit — cases starting as low as $99/month. We'll help you find a plan that fits your life."</w:t>
      </w:r>
    </w:p>
    <w:p>
      <w:pPr>
        <w:spacing w:before="0" w:after="60"/>
      </w:pPr>
    </w:p>
    <w:p>
      <w:pPr>
        <w:spacing w:before="0" w:after="60" w:line="288" w:lineRule="auto"/>
      </w:pPr>
      <w:r>
        <w:rPr>
          <w:rFonts w:ascii="Calibri" w:hAnsi="Calibri"/>
          <w:b/>
          <w:color w:val="58585A"/>
          <w:sz w:val="20"/>
        </w:rPr>
        <w:t>Also add:</w:t>
      </w:r>
      <w:r>
        <w:rPr>
          <w:rFonts w:ascii="Calibri" w:hAnsi="Calibri"/>
          <w:color w:val="58585A"/>
          <w:sz w:val="20"/>
        </w:rPr>
        <w:t xml:space="preserve"> A CareCredit badge/logo to the footer and implant service pages.</w:t>
      </w:r>
    </w:p>
    <w:p>
      <w:pPr>
        <w:spacing w:before="0" w:after="60" w:line="288" w:lineRule="auto"/>
      </w:pPr>
      <w:r>
        <w:rPr>
          <w:rFonts w:ascii="Calibri" w:hAnsi="Calibri"/>
          <w:b/>
          <w:color w:val="58585A"/>
          <w:sz w:val="20"/>
        </w:rPr>
        <w:t>Effort:</w:t>
      </w:r>
      <w:r>
        <w:rPr>
          <w:rFonts w:ascii="Calibri" w:hAnsi="Calibri"/>
          <w:color w:val="58585A"/>
          <w:sz w:val="20"/>
        </w:rPr>
        <w:t xml:space="preserve"> 1 hour across both sites.</w:t>
      </w:r>
    </w:p>
    <w:p>
      <w:pPr>
        <w:spacing w:before="0" w:after="60" w:line="288" w:lineRule="auto"/>
      </w:pPr>
      <w:r>
        <w:rPr>
          <w:rFonts w:ascii="Calibri" w:hAnsi="Calibri"/>
          <w:b/>
          <w:color w:val="58585A"/>
          <w:sz w:val="20"/>
        </w:rPr>
        <w:t>Est. impact:</w:t>
      </w:r>
      <w:r>
        <w:rPr>
          <w:rFonts w:ascii="Calibri" w:hAnsi="Calibri"/>
          <w:color w:val="58585A"/>
          <w:sz w:val="20"/>
        </w:rPr>
        <w:t xml:space="preserve"> 15–20% increase in implant consultation requests (Moderate confidence).</w:t>
      </w:r>
    </w:p>
    <w:p>
      <w:pPr>
        <w:spacing w:before="0" w:after="60"/>
      </w:pPr>
    </w:p>
    <w:p>
      <w:pPr>
        <w:spacing w:before="80" w:after="80"/>
        <w:pBdr>
          <w:bottom w:val="single" w:sz="6" w:space="1" w:color="25aae1"/>
        </w:pBdr>
      </w:pPr>
    </w:p>
    <w:p>
      <w:pPr>
        <w:spacing w:before="0" w:after="60"/>
      </w:pPr>
    </w:p>
    <w:p>
      <w:pPr>
        <w:spacing w:before="320" w:after="120"/>
        <w:pBdr>
          <w:bottom w:val="single" w:sz="4" w:space="1" w:color="CCCCCC"/>
        </w:pBdr>
      </w:pPr>
      <w:r>
        <w:rPr>
          <w:rFonts w:ascii="Calibri" w:hAnsi="Calibri"/>
          <w:b/>
          <w:color w:val="58585A"/>
          <w:sz w:val="26"/>
        </w:rPr>
        <w:t>QW-3: Remove "Budget-Conscious" and "Affordable" Messaging from Implant Context</w:t>
      </w:r>
    </w:p>
    <w:p>
      <w:pPr>
        <w:spacing w:before="0" w:after="60" w:line="288" w:lineRule="auto"/>
      </w:pPr>
      <w:r>
        <w:rPr>
          <w:rFonts w:ascii="Calibri" w:hAnsi="Calibri"/>
          <w:b/>
          <w:color w:val="58585A"/>
          <w:sz w:val="20"/>
        </w:rPr>
        <w:t>Current language flags:</w:t>
      </w:r>
    </w:p>
    <w:p>
      <w:pPr>
        <w:pStyle w:val="ListBullet"/>
        <w:spacing w:before="40" w:after="40" w:line="312" w:lineRule="auto"/>
      </w:pPr>
      <w:r>
        <w:rPr>
          <w:rFonts w:ascii="Georgia" w:hAnsi="Georgia"/>
          <w:color w:val="333333"/>
          <w:sz w:val="22"/>
        </w:rPr>
        <w:t>"same-day treatment while prioritizing patient comfort and budget"</w:t>
      </w:r>
    </w:p>
    <w:p>
      <w:pPr>
        <w:pStyle w:val="ListBullet"/>
        <w:spacing w:before="40" w:after="40" w:line="312" w:lineRule="auto"/>
      </w:pPr>
      <w:r>
        <w:rPr>
          <w:rFonts w:ascii="Georgia" w:hAnsi="Georgia"/>
          <w:color w:val="333333"/>
          <w:sz w:val="22"/>
        </w:rPr>
        <w:t>"people should be able to have a beautiful smile without breaking the bank"</w:t>
      </w:r>
    </w:p>
    <w:p>
      <w:pPr>
        <w:pStyle w:val="ListBullet"/>
        <w:spacing w:before="40" w:after="40" w:line="312" w:lineRule="auto"/>
      </w:pPr>
      <w:r>
        <w:rPr>
          <w:rFonts w:ascii="Georgia" w:hAnsi="Georgia"/>
          <w:color w:val="333333"/>
          <w:sz w:val="22"/>
        </w:rPr>
        <w:t>"discounted fee schedule for uninsured patients"</w:t>
      </w:r>
    </w:p>
    <w:p>
      <w:pPr>
        <w:spacing w:before="0" w:after="60"/>
      </w:pPr>
    </w:p>
    <w:p>
      <w:pPr>
        <w:spacing w:before="0" w:after="60" w:line="288" w:lineRule="auto"/>
      </w:pPr>
      <w:r>
        <w:rPr>
          <w:rFonts w:ascii="Calibri" w:hAnsi="Calibri"/>
          <w:b/>
          <w:color w:val="58585A"/>
          <w:sz w:val="20"/>
        </w:rPr>
        <w:t>The problem:</w:t>
      </w:r>
      <w:r>
        <w:rPr>
          <w:rFonts w:ascii="Calibri" w:hAnsi="Calibri"/>
          <w:color w:val="58585A"/>
          <w:sz w:val="20"/>
        </w:rPr>
        <w:t xml:space="preserve"> These are fine messages for general dentistry. They are poison for implant positioning. A patient considering a $35,000 full-arch case is not looking for the budget dentist. They are looking for the dentist they can trust with their face. "Affordable" signals low-cost, which signals lower quality at the price point that matters most. This language also actively invites price-shopping behavior, which is the single worst dynamic in an implant consultation.</w:t>
      </w:r>
    </w:p>
    <w:p>
      <w:pPr>
        <w:spacing w:before="0" w:after="60"/>
      </w:pPr>
    </w:p>
    <w:p>
      <w:pPr>
        <w:spacing w:before="0" w:after="60" w:line="288" w:lineRule="auto"/>
      </w:pPr>
      <w:r>
        <w:rPr>
          <w:rFonts w:ascii="Calibri" w:hAnsi="Calibri"/>
          <w:b/>
          <w:color w:val="58585A"/>
          <w:sz w:val="20"/>
        </w:rPr>
        <w:t>Replace with:</w:t>
      </w:r>
      <w:r>
        <w:rPr>
          <w:rFonts w:ascii="Calibri" w:hAnsi="Calibri"/>
          <w:color w:val="58585A"/>
          <w:sz w:val="20"/>
        </w:rPr>
        <w:t xml:space="preserve"> "Transparent pricing. No hidden costs. Flexible financing that makes excellent care accessible."</w:t>
      </w:r>
    </w:p>
    <w:p>
      <w:pPr>
        <w:spacing w:before="0" w:after="60" w:line="288" w:lineRule="auto"/>
      </w:pPr>
      <w:r>
        <w:rPr>
          <w:rFonts w:ascii="Calibri" w:hAnsi="Calibri"/>
          <w:b/>
          <w:color w:val="58585A"/>
          <w:sz w:val="20"/>
        </w:rPr>
        <w:t>Effort:</w:t>
      </w:r>
      <w:r>
        <w:rPr>
          <w:rFonts w:ascii="Calibri" w:hAnsi="Calibri"/>
          <w:color w:val="58585A"/>
          <w:sz w:val="20"/>
        </w:rPr>
        <w:t xml:space="preserve"> 30 minutes copy edit. High importance.</w:t>
      </w:r>
    </w:p>
    <w:p>
      <w:pPr>
        <w:spacing w:before="0" w:after="60"/>
      </w:pPr>
    </w:p>
    <w:p>
      <w:pPr>
        <w:spacing w:before="80" w:after="80"/>
        <w:pBdr>
          <w:bottom w:val="single" w:sz="6" w:space="1" w:color="25aae1"/>
        </w:pBdr>
      </w:pPr>
    </w:p>
    <w:p>
      <w:pPr>
        <w:spacing w:before="0" w:after="60"/>
      </w:pPr>
    </w:p>
    <w:p>
      <w:pPr>
        <w:spacing w:before="320" w:after="120"/>
        <w:pBdr>
          <w:bottom w:val="single" w:sz="4" w:space="1" w:color="CCCCCC"/>
        </w:pBdr>
      </w:pPr>
      <w:r>
        <w:rPr>
          <w:rFonts w:ascii="Calibri" w:hAnsi="Calibri"/>
          <w:b/>
          <w:color w:val="58585A"/>
          <w:sz w:val="26"/>
        </w:rPr>
        <w:t>QW-4: Add "Why Dr. Hedges vs. a Specialist" Content Block to Implant Pages</w:t>
      </w:r>
    </w:p>
    <w:p>
      <w:pPr>
        <w:spacing w:before="0" w:after="60" w:line="288" w:lineRule="auto"/>
      </w:pPr>
      <w:r>
        <w:rPr>
          <w:rFonts w:ascii="Calibri" w:hAnsi="Calibri"/>
          <w:b/>
          <w:color w:val="58585A"/>
          <w:sz w:val="20"/>
        </w:rPr>
        <w:t>The objection every patient has:</w:t>
      </w:r>
      <w:r>
        <w:rPr>
          <w:rFonts w:ascii="Calibri" w:hAnsi="Calibri"/>
          <w:color w:val="58585A"/>
          <w:sz w:val="20"/>
        </w:rPr>
        <w:t xml:space="preserve"> "Should I go to an oral surgeon or periodontist instead?"</w:t>
      </w:r>
    </w:p>
    <w:p>
      <w:pPr>
        <w:spacing w:before="0" w:after="60" w:line="288" w:lineRule="auto"/>
      </w:pPr>
      <w:r>
        <w:rPr>
          <w:rFonts w:ascii="Calibri" w:hAnsi="Calibri"/>
          <w:b/>
          <w:color w:val="58585A"/>
          <w:sz w:val="20"/>
        </w:rPr>
        <w:t>Currently:</w:t>
      </w:r>
      <w:r>
        <w:rPr>
          <w:rFonts w:ascii="Calibri" w:hAnsi="Calibri"/>
          <w:color w:val="58585A"/>
          <w:sz w:val="20"/>
        </w:rPr>
        <w:t xml:space="preserve"> Nothing on either website answers this question. The patient has to guess.</w:t>
      </w:r>
    </w:p>
    <w:p>
      <w:pPr>
        <w:spacing w:before="0" w:after="60" w:line="288" w:lineRule="auto"/>
      </w:pPr>
      <w:r>
        <w:rPr>
          <w:rFonts w:ascii="Calibri" w:hAnsi="Calibri"/>
          <w:b/>
          <w:color w:val="58585A"/>
          <w:sz w:val="20"/>
        </w:rPr>
        <w:t>Add a content block:</w:t>
      </w:r>
    </w:p>
    <w:p>
      <w:pPr>
        <w:spacing w:before="200" w:after="200"/>
        <w:ind w:left="360"/>
        <w:shd w:fill="F5F5F5" w:color="auto" w:val="clear"/>
        <w:pBdr>
          <w:left w:val="single" w:sz="24" w:space="144" w:color="25aae1"/>
        </w:pBdr>
      </w:pPr>
      <w:r>
        <w:rPr>
          <w:rFonts w:ascii="Calibri" w:hAnsi="Calibri"/>
          <w:i/>
          <w:color w:val="58585A"/>
          <w:sz w:val="22"/>
        </w:rPr>
        <w:t>"Why choose Dr. Hedges for your implants?</w:t>
      </w:r>
    </w:p>
    <w:p>
      <w:pPr>
        <w:spacing w:before="200" w:after="200"/>
        <w:ind w:left="360"/>
        <w:shd w:fill="F5F5F5" w:color="auto" w:val="clear"/>
        <w:pBdr>
          <w:left w:val="single" w:sz="24" w:space="144" w:color="25aae1"/>
        </w:pBdr>
      </w:pPr>
      <w:r>
        <w:rPr>
          <w:rFonts w:ascii="Calibri" w:hAnsi="Calibri"/>
          <w:i/>
          <w:color w:val="58585A"/>
          <w:sz w:val="22"/>
        </w:rPr>
        <w:t>At Hedges Dental, Dr. Hedges handles your entire implant journey — from the surgical placement to the final crown — in a single practice. No referrals. No waiting on different offices to coordinate. You work with one doctor who knows your case from day one. That continuity produces better outcomes and a smoother experience."</w:t>
      </w:r>
    </w:p>
    <w:p>
      <w:pPr>
        <w:spacing w:before="0" w:after="60"/>
      </w:pPr>
    </w:p>
    <w:p>
      <w:pPr>
        <w:spacing w:before="0" w:after="60" w:line="288" w:lineRule="auto"/>
      </w:pPr>
      <w:r>
        <w:rPr>
          <w:rFonts w:ascii="Calibri" w:hAnsi="Calibri"/>
          <w:b/>
          <w:color w:val="58585A"/>
          <w:sz w:val="20"/>
        </w:rPr>
        <w:t>Also relevant:</w:t>
      </w:r>
      <w:r>
        <w:rPr>
          <w:rFonts w:ascii="Calibri" w:hAnsi="Calibri"/>
          <w:color w:val="58585A"/>
          <w:sz w:val="20"/>
        </w:rPr>
        <w:t xml:space="preserve"> ClearChoice uses "one location, one team" as their core differentiator. Dr. Hedges can legitimately use the same argument — and he's a private, locally-owned practice without corporate pricing.</w:t>
      </w:r>
    </w:p>
    <w:p>
      <w:pPr>
        <w:spacing w:before="0" w:after="60" w:line="288" w:lineRule="auto"/>
      </w:pPr>
      <w:r>
        <w:rPr>
          <w:rFonts w:ascii="Calibri" w:hAnsi="Calibri"/>
          <w:b/>
          <w:color w:val="58585A"/>
          <w:sz w:val="20"/>
        </w:rPr>
        <w:t>Effort:</w:t>
      </w:r>
      <w:r>
        <w:rPr>
          <w:rFonts w:ascii="Calibri" w:hAnsi="Calibri"/>
          <w:color w:val="58585A"/>
          <w:sz w:val="20"/>
        </w:rPr>
        <w:t xml:space="preserve"> 1 hour of writing.</w:t>
      </w:r>
    </w:p>
    <w:p>
      <w:pPr>
        <w:spacing w:before="0" w:after="60"/>
      </w:pPr>
    </w:p>
    <w:p>
      <w:pPr>
        <w:spacing w:before="80" w:after="80"/>
        <w:pBdr>
          <w:bottom w:val="single" w:sz="6" w:space="1" w:color="25aae1"/>
        </w:pBdr>
      </w:pPr>
    </w:p>
    <w:p>
      <w:pPr>
        <w:spacing w:before="0" w:after="60"/>
      </w:pPr>
    </w:p>
    <w:p>
      <w:pPr>
        <w:spacing w:before="320" w:after="120"/>
        <w:pBdr>
          <w:bottom w:val="single" w:sz="4" w:space="1" w:color="CCCCCC"/>
        </w:pBdr>
      </w:pPr>
      <w:r>
        <w:rPr>
          <w:rFonts w:ascii="Calibri" w:hAnsi="Calibri"/>
          <w:b/>
          <w:color w:val="58585A"/>
          <w:sz w:val="26"/>
        </w:rPr>
        <w:t>QW-5: Optimize Google Business Profile for Implant-Specific Searches</w:t>
      </w:r>
    </w:p>
    <w:p>
      <w:pPr>
        <w:spacing w:before="0" w:after="60" w:line="288" w:lineRule="auto"/>
      </w:pPr>
      <w:r>
        <w:rPr>
          <w:rFonts w:ascii="Calibri" w:hAnsi="Calibri"/>
          <w:b/>
          <w:color w:val="58585A"/>
          <w:sz w:val="20"/>
        </w:rPr>
        <w:t>Current status:</w:t>
      </w:r>
      <w:r>
        <w:rPr>
          <w:rFonts w:ascii="Calibri" w:hAnsi="Calibri"/>
          <w:color w:val="58585A"/>
          <w:sz w:val="20"/>
        </w:rPr>
        <w:t xml:space="preserve"> GBP exists (confirmed via third-party directory listings) but appears to be set up as a general dentistry profile.</w:t>
      </w:r>
    </w:p>
    <w:p>
      <w:pPr>
        <w:spacing w:before="0" w:after="60" w:line="288" w:lineRule="auto"/>
      </w:pPr>
      <w:r>
        <w:rPr>
          <w:rFonts w:ascii="Calibri" w:hAnsi="Calibri"/>
          <w:b/>
          <w:color w:val="58585A"/>
          <w:sz w:val="20"/>
        </w:rPr>
        <w:t>Action items:</w:t>
      </w:r>
    </w:p>
    <w:p>
      <w:pPr>
        <w:pStyle w:val="ListBullet"/>
        <w:spacing w:before="40" w:after="40" w:line="312" w:lineRule="auto"/>
      </w:pPr>
      <w:r>
        <w:rPr>
          <w:rFonts w:ascii="Georgia" w:hAnsi="Georgia"/>
          <w:color w:val="333333"/>
          <w:sz w:val="22"/>
        </w:rPr>
        <w:t>Add "Dental Implants" as a primary service (not just a tag)</w:t>
      </w:r>
    </w:p>
    <w:p>
      <w:pPr>
        <w:pStyle w:val="ListBullet"/>
        <w:spacing w:before="40" w:after="40" w:line="312" w:lineRule="auto"/>
      </w:pPr>
      <w:r>
        <w:rPr>
          <w:rFonts w:ascii="Georgia" w:hAnsi="Georgia"/>
          <w:color w:val="333333"/>
          <w:sz w:val="22"/>
        </w:rPr>
        <w:t>Add All-on-4, Implant-Retained Dentures, Oral Surgery as additional services</w:t>
      </w:r>
    </w:p>
    <w:p>
      <w:pPr>
        <w:pStyle w:val="ListBullet"/>
        <w:spacing w:before="40" w:after="40" w:line="312" w:lineRule="auto"/>
      </w:pPr>
      <w:r>
        <w:rPr>
          <w:rFonts w:ascii="Georgia" w:hAnsi="Georgia"/>
          <w:color w:val="333333"/>
          <w:sz w:val="22"/>
        </w:rPr>
        <w:t>Upload 5–10 before/after photos with implant-specific descriptions</w:t>
      </w:r>
    </w:p>
    <w:p>
      <w:pPr>
        <w:pStyle w:val="ListBullet"/>
        <w:spacing w:before="40" w:after="40" w:line="312" w:lineRule="auto"/>
      </w:pPr>
      <w:r>
        <w:rPr>
          <w:rFonts w:ascii="Georgia" w:hAnsi="Georgia"/>
          <w:color w:val="333333"/>
          <w:sz w:val="22"/>
        </w:rPr>
        <w:t xml:space="preserve">Update business description to lead with implant capability: </w:t>
      </w:r>
      <w:r>
        <w:rPr>
          <w:rFonts w:ascii="Calibri" w:hAnsi="Calibri"/>
          <w:i/>
          <w:color w:val="58585A"/>
          <w:sz w:val="22"/>
        </w:rPr>
        <w:t>"Dr. Jeffrey Hedges, DMD offers dental implants, All-on-4, and full-arch restoration in Louisville, KY."</w:t>
      </w:r>
    </w:p>
    <w:p>
      <w:pPr>
        <w:pStyle w:val="ListBullet"/>
        <w:spacing w:before="40" w:after="40" w:line="312" w:lineRule="auto"/>
      </w:pPr>
      <w:r>
        <w:rPr>
          <w:rFonts w:ascii="Georgia" w:hAnsi="Georgia"/>
          <w:color w:val="333333"/>
          <w:sz w:val="22"/>
        </w:rPr>
        <w:t>Respond to all existing reviews (this signals activity to Google)</w:t>
      </w:r>
    </w:p>
    <w:p>
      <w:pPr>
        <w:spacing w:before="0" w:after="60" w:line="288" w:lineRule="auto"/>
      </w:pPr>
      <w:r>
        <w:rPr>
          <w:rFonts w:ascii="Calibri" w:hAnsi="Calibri"/>
          <w:b/>
          <w:color w:val="58585A"/>
          <w:sz w:val="20"/>
        </w:rPr>
        <w:t>Target keywords to own:</w:t>
      </w:r>
      <w:r>
        <w:rPr>
          <w:rFonts w:ascii="Calibri" w:hAnsi="Calibri"/>
          <w:color w:val="58585A"/>
          <w:sz w:val="20"/>
        </w:rPr>
        <w:t xml:space="preserve"> "dental implants Louisville KY" · "All-on-4 Louisville" · "implant dentist 40222" · "tooth replacement Louisville"</w:t>
      </w:r>
    </w:p>
    <w:p>
      <w:pPr>
        <w:spacing w:before="0" w:after="60" w:line="288" w:lineRule="auto"/>
      </w:pPr>
      <w:r>
        <w:rPr>
          <w:rFonts w:ascii="Calibri" w:hAnsi="Calibri"/>
          <w:b/>
          <w:color w:val="58585A"/>
          <w:sz w:val="20"/>
        </w:rPr>
        <w:t>Effort:</w:t>
      </w:r>
      <w:r>
        <w:rPr>
          <w:rFonts w:ascii="Calibri" w:hAnsi="Calibri"/>
          <w:color w:val="58585A"/>
          <w:sz w:val="20"/>
        </w:rPr>
        <w:t xml:space="preserve"> 2–3 hours. No cost.</w:t>
      </w:r>
    </w:p>
    <w:p>
      <w:pPr>
        <w:spacing w:before="0" w:after="60"/>
      </w:pPr>
    </w:p>
    <w:p>
      <w:pPr>
        <w:spacing w:before="80" w:after="80"/>
        <w:pBdr>
          <w:bottom w:val="single" w:sz="6" w:space="1" w:color="25aae1"/>
        </w:pBdr>
      </w:pPr>
    </w:p>
    <w:p>
      <w:pPr>
        <w:spacing w:before="0" w:after="60"/>
      </w:pPr>
    </w:p>
    <w:p>
      <w:pPr>
        <w:spacing w:before="320" w:after="120"/>
        <w:pBdr>
          <w:bottom w:val="single" w:sz="4" w:space="1" w:color="CCCCCC"/>
        </w:pBdr>
      </w:pPr>
      <w:r>
        <w:rPr>
          <w:rFonts w:ascii="Calibri" w:hAnsi="Calibri"/>
          <w:b/>
          <w:color w:val="58585A"/>
          <w:sz w:val="26"/>
        </w:rPr>
        <w:t>QW-6: Build a 5-Star Review Generation Sequence for Implant Patients</w:t>
      </w:r>
    </w:p>
    <w:p>
      <w:pPr>
        <w:spacing w:before="0" w:after="60" w:line="288" w:lineRule="auto"/>
      </w:pPr>
      <w:r>
        <w:rPr>
          <w:rFonts w:ascii="Calibri" w:hAnsi="Calibri"/>
          <w:b/>
          <w:color w:val="58585A"/>
          <w:sz w:val="20"/>
        </w:rPr>
        <w:t>Current review status:</w:t>
      </w:r>
      <w:r>
        <w:rPr>
          <w:rFonts w:ascii="Calibri" w:hAnsi="Calibri"/>
          <w:color w:val="58585A"/>
          <w:sz w:val="20"/>
        </w:rPr>
        <w:t xml:space="preserve"> 6 Facebook reviews (86% recommendation rate), Nextdoor Neighborhood Favorite in 10 Louisville neighborhoods. Google review count is not confirmed but appears minimal.</w:t>
      </w:r>
    </w:p>
    <w:p>
      <w:pPr>
        <w:spacing w:before="0" w:after="60" w:line="288" w:lineRule="auto"/>
      </w:pPr>
      <w:r>
        <w:rPr>
          <w:rFonts w:ascii="Calibri" w:hAnsi="Calibri"/>
          <w:b/>
          <w:color w:val="58585A"/>
          <w:sz w:val="20"/>
        </w:rPr>
        <w:t>The gap:</w:t>
      </w:r>
      <w:r>
        <w:rPr>
          <w:rFonts w:ascii="Calibri" w:hAnsi="Calibri"/>
          <w:color w:val="58585A"/>
          <w:sz w:val="20"/>
        </w:rPr>
        <w:t xml:space="preserve"> ClearChoice Louisville has 63+ reviews on Birdeye and 71 on their own site. Innovative Oral Surgery runs 4.9–5.0 stars across multiple locations. Dr. Hedges has an excellent community reputation (Nextdoor does not lie — that is earned trust) but it is not visible on Google where implant patients actually search.</w:t>
      </w:r>
    </w:p>
    <w:p>
      <w:pPr>
        <w:spacing w:before="0" w:after="60" w:line="288" w:lineRule="auto"/>
      </w:pPr>
      <w:r>
        <w:rPr>
          <w:rFonts w:ascii="Calibri" w:hAnsi="Calibri"/>
          <w:b/>
          <w:color w:val="58585A"/>
          <w:sz w:val="20"/>
        </w:rPr>
        <w:t>Build a simple 3-step sequence:</w:t>
      </w:r>
    </w:p>
    <w:p>
      <w:pPr>
        <w:pStyle w:val="ListNumber"/>
        <w:spacing w:before="40" w:after="40" w:line="312" w:lineRule="auto"/>
      </w:pPr>
      <w:r>
        <w:rPr>
          <w:rFonts w:ascii="Georgia" w:hAnsi="Georgia"/>
          <w:color w:val="333333"/>
          <w:sz w:val="22"/>
        </w:rPr>
        <w:t>Day of procedure: "We're so glad everything went smoothly today. Would you mind sharing your experience? [Google review link]"</w:t>
      </w:r>
    </w:p>
    <w:p>
      <w:pPr>
        <w:pStyle w:val="ListNumber"/>
        <w:spacing w:before="40" w:after="40" w:line="312" w:lineRule="auto"/>
      </w:pPr>
      <w:r>
        <w:rPr>
          <w:rFonts w:ascii="Georgia" w:hAnsi="Georgia"/>
          <w:color w:val="333333"/>
          <w:sz w:val="22"/>
        </w:rPr>
        <w:t>Day 7 post-procedure: Follow-up text/email asking how recovery is going + second review request</w:t>
      </w:r>
    </w:p>
    <w:p>
      <w:pPr>
        <w:pStyle w:val="ListNumber"/>
        <w:spacing w:before="40" w:after="40" w:line="312" w:lineRule="auto"/>
      </w:pPr>
      <w:r>
        <w:rPr>
          <w:rFonts w:ascii="Georgia" w:hAnsi="Georgia"/>
          <w:color w:val="333333"/>
          <w:sz w:val="22"/>
        </w:rPr>
        <w:t>Day 30: Check-in on healing + final review request</w:t>
      </w:r>
    </w:p>
    <w:p>
      <w:pPr>
        <w:spacing w:before="0" w:after="60" w:line="288" w:lineRule="auto"/>
      </w:pPr>
      <w:r>
        <w:rPr>
          <w:rFonts w:ascii="Calibri" w:hAnsi="Calibri"/>
          <w:b/>
          <w:color w:val="58585A"/>
          <w:sz w:val="20"/>
        </w:rPr>
        <w:t>Goal:</w:t>
      </w:r>
      <w:r>
        <w:rPr>
          <w:rFonts w:ascii="Calibri" w:hAnsi="Calibri"/>
          <w:color w:val="58585A"/>
          <w:sz w:val="20"/>
        </w:rPr>
        <w:t xml:space="preserve"> 30 Google reviews with 4.8+ average within 90 days. Ten authentic implant-specific reviews outperform 100 generic dentistry reviews for positioning.</w:t>
      </w:r>
    </w:p>
    <w:p>
      <w:pPr>
        <w:spacing w:before="0" w:after="60" w:line="288" w:lineRule="auto"/>
      </w:pPr>
      <w:r>
        <w:rPr>
          <w:rFonts w:ascii="Calibri" w:hAnsi="Calibri"/>
          <w:b/>
          <w:color w:val="58585A"/>
          <w:sz w:val="20"/>
        </w:rPr>
        <w:t>Effort:</w:t>
      </w:r>
      <w:r>
        <w:rPr>
          <w:rFonts w:ascii="Calibri" w:hAnsi="Calibri"/>
          <w:color w:val="58585A"/>
          <w:sz w:val="20"/>
        </w:rPr>
        <w:t xml:space="preserve"> One afternoon to set up. Christy Hedges can manage this from the front desk.</w:t>
      </w:r>
    </w:p>
    <w:p>
      <w:pPr>
        <w:spacing w:before="0" w:after="60"/>
      </w:pPr>
    </w:p>
    <w:p>
      <w:pPr>
        <w:spacing w:before="80" w:after="80"/>
        <w:pBdr>
          <w:bottom w:val="single" w:sz="6" w:space="1" w:color="25aae1"/>
        </w:pBdr>
      </w:pPr>
    </w:p>
    <w:p>
      <w:pPr>
        <w:spacing w:before="0" w:after="60"/>
      </w:pPr>
    </w:p>
    <w:p>
      <w:pPr>
        <w:spacing w:before="320" w:after="120"/>
        <w:pBdr>
          <w:bottom w:val="single" w:sz="4" w:space="1" w:color="CCCCCC"/>
        </w:pBdr>
      </w:pPr>
      <w:r>
        <w:rPr>
          <w:rFonts w:ascii="Calibri" w:hAnsi="Calibri"/>
          <w:b/>
          <w:color w:val="58585A"/>
          <w:sz w:val="26"/>
        </w:rPr>
        <w:t>QW-7: Activate Nextdoor Business Profile for Implant Case Generation</w:t>
      </w:r>
    </w:p>
    <w:p>
      <w:pPr>
        <w:spacing w:before="0" w:after="60" w:line="288" w:lineRule="auto"/>
      </w:pPr>
      <w:r>
        <w:rPr>
          <w:rFonts w:ascii="Calibri" w:hAnsi="Calibri"/>
          <w:b/>
          <w:color w:val="58585A"/>
          <w:sz w:val="20"/>
        </w:rPr>
        <w:t>Current situation:</w:t>
      </w:r>
      <w:r>
        <w:rPr>
          <w:rFonts w:ascii="Calibri" w:hAnsi="Calibri"/>
          <w:color w:val="58585A"/>
          <w:sz w:val="20"/>
        </w:rPr>
        <w:t xml:space="preserve"> Hedges Dental is a Neighborhood Favorite on Nextdoor across 10 Louisville neighborhoods including Bancroft, Graymoor-Devondale, Brownsboro Farm, Briarwood, and others. This is earned community trust that most dental practices spend years trying to build. It is currently generating zero implant cases because there is no strategy behind it.</w:t>
      </w:r>
    </w:p>
    <w:p>
      <w:pPr>
        <w:spacing w:before="0" w:after="60" w:line="288" w:lineRule="auto"/>
      </w:pPr>
      <w:r>
        <w:rPr>
          <w:rFonts w:ascii="Calibri" w:hAnsi="Calibri"/>
          <w:b/>
          <w:color w:val="58585A"/>
          <w:sz w:val="20"/>
        </w:rPr>
        <w:t>Action:</w:t>
      </w:r>
      <w:r>
        <w:rPr>
          <w:rFonts w:ascii="Calibri" w:hAnsi="Calibri"/>
          <w:color w:val="58585A"/>
          <w:sz w:val="20"/>
        </w:rPr>
        <w:t xml:space="preserve"> Set up Nextdoor Business Page with implant-specific focus. Post monthly content answering implant questions. When neighbors ask "does anyone know a good dentist for implants?" — Dr. Hedges (or Christy) needs to be the visible answer.</w:t>
      </w:r>
    </w:p>
    <w:p>
      <w:pPr>
        <w:spacing w:before="0" w:after="60" w:line="288" w:lineRule="auto"/>
      </w:pPr>
      <w:r>
        <w:rPr>
          <w:rFonts w:ascii="Calibri" w:hAnsi="Calibri"/>
          <w:b/>
          <w:color w:val="58585A"/>
          <w:sz w:val="20"/>
        </w:rPr>
        <w:t>Effort:</w:t>
      </w:r>
      <w:r>
        <w:rPr>
          <w:rFonts w:ascii="Calibri" w:hAnsi="Calibri"/>
          <w:color w:val="58585A"/>
          <w:sz w:val="20"/>
        </w:rPr>
        <w:t xml:space="preserve"> 1 hour setup + 30 minutes per month.</w:t>
      </w:r>
    </w:p>
    <w:p>
      <w:pPr>
        <w:spacing w:before="0" w:after="60"/>
      </w:pPr>
    </w:p>
    <w:p>
      <w:pPr>
        <w:spacing w:before="80" w:after="80"/>
        <w:pBdr>
          <w:bottom w:val="single" w:sz="6" w:space="1" w:color="25aae1"/>
        </w:pBdr>
      </w:pPr>
    </w:p>
    <w:p>
      <w:pPr>
        <w:spacing w:before="0" w:after="60"/>
      </w:pPr>
    </w:p>
    <w:p>
      <w:r>
        <w:br w:type="page"/>
      </w:r>
    </w:p>
    <w:p>
      <w:pPr>
        <w:spacing w:before="0" w:after="160"/>
        <w:pBdr>
          <w:bottom w:val="single" w:sz="8" w:space="1" w:color="25aae1"/>
        </w:pBdr>
      </w:pPr>
      <w:r>
        <w:rPr>
          <w:rFonts w:ascii="Calibri" w:hAnsi="Calibri"/>
          <w:b/>
          <w:color w:val="25AAE1"/>
          <w:sz w:val="40"/>
        </w:rPr>
        <w:t>Strategic Recommendations (This Month)</w:t>
      </w:r>
    </w:p>
    <w:p>
      <w:pPr>
        <w:spacing w:before="0" w:after="60"/>
      </w:pPr>
    </w:p>
    <w:p>
      <w:pPr>
        <w:spacing w:before="320" w:after="120"/>
        <w:pBdr>
          <w:bottom w:val="single" w:sz="4" w:space="1" w:color="CCCCCC"/>
        </w:pBdr>
      </w:pPr>
      <w:r>
        <w:rPr>
          <w:rFonts w:ascii="Calibri" w:hAnsi="Calibri"/>
          <w:b/>
          <w:color w:val="58585A"/>
          <w:sz w:val="26"/>
        </w:rPr>
        <w:t>SR-1: Build toplouisvilledentist.com Into a Dedicated Implant Authority + Conversion Site</w:t>
      </w:r>
    </w:p>
    <w:p>
      <w:pPr>
        <w:spacing w:before="0" w:after="120" w:line="336" w:lineRule="auto"/>
      </w:pPr>
      <w:r>
        <w:rPr>
          <w:rFonts w:ascii="Georgia" w:hAnsi="Georgia"/>
          <w:color w:val="333333"/>
          <w:sz w:val="22"/>
        </w:rPr>
        <w:t>This is the highest-priority strategic move in the entire audit. Dr. Hedges already owns this domain. There is already an All-on-4 page at `toplouisvilledentist.com/services/all-on-4`. The infrastructure exists. What is missing is the content and conversion architecture to make it a site that an implant-researching patient trusts enough to book.</w:t>
      </w:r>
    </w:p>
    <w:p>
      <w:pPr>
        <w:spacing w:before="0" w:after="60"/>
      </w:pPr>
    </w:p>
    <w:p>
      <w:pPr>
        <w:spacing w:before="0" w:after="60" w:line="288" w:lineRule="auto"/>
      </w:pPr>
      <w:r>
        <w:rPr>
          <w:rFonts w:ascii="Calibri" w:hAnsi="Calibri"/>
          <w:b/>
          <w:color w:val="58585A"/>
          <w:sz w:val="20"/>
        </w:rPr>
        <w:t>What the site needs to become:</w:t>
      </w:r>
    </w:p>
    <w:p>
      <w:pPr>
        <w:spacing w:before="0" w:after="120" w:line="336" w:lineRule="auto"/>
      </w:pPr>
      <w:r>
        <w:rPr>
          <w:rFonts w:ascii="Georgia" w:hAnsi="Georgia"/>
          <w:color w:val="333333"/>
          <w:sz w:val="22"/>
        </w:rPr>
        <w:t>A destination for patients who are 30–180 days into researching dental implants, have not yet decided on a provider, and are looking for someone they can trust with a significant health and financial investment. This is not a brochure site. It is an authority conversion system.</w:t>
      </w:r>
    </w:p>
    <w:p>
      <w:pPr>
        <w:spacing w:before="0" w:after="60"/>
      </w:pPr>
    </w:p>
    <w:p>
      <w:pPr>
        <w:spacing w:before="0" w:after="60" w:line="288" w:lineRule="auto"/>
      </w:pPr>
      <w:r>
        <w:rPr>
          <w:rFonts w:ascii="Calibri" w:hAnsi="Calibri"/>
          <w:b/>
          <w:color w:val="58585A"/>
          <w:sz w:val="20"/>
        </w:rPr>
        <w:t>Pages to build or rebuild:</w:t>
      </w:r>
    </w:p>
    <w:p>
      <w:pPr>
        <w:pStyle w:val="ListBullet"/>
        <w:spacing w:before="40" w:after="40" w:line="312" w:lineRule="auto"/>
      </w:pPr>
      <w:r>
        <w:rPr>
          <w:rFonts w:ascii="Calibri" w:hAnsi="Calibri"/>
          <w:b/>
          <w:color w:val="333333"/>
          <w:sz w:val="22"/>
        </w:rPr>
        <w:t>Homepage:</w:t>
      </w:r>
      <w:r>
        <w:rPr>
          <w:rFonts w:ascii="Georgia" w:hAnsi="Georgia"/>
          <w:color w:val="333333"/>
          <w:sz w:val="22"/>
        </w:rPr>
        <w:t xml:space="preserve"> Implant authority positioning. Before/after gallery. Patient stories. Dr. Hedges' background. CTA: "Schedule Your Free Implant Consultation."</w:t>
      </w:r>
    </w:p>
    <w:p>
      <w:pPr>
        <w:pStyle w:val="ListBullet"/>
        <w:spacing w:before="40" w:after="40" w:line="312" w:lineRule="auto"/>
      </w:pPr>
      <w:r>
        <w:rPr>
          <w:rFonts w:ascii="Calibri" w:hAnsi="Calibri"/>
          <w:b/>
          <w:color w:val="333333"/>
          <w:sz w:val="22"/>
        </w:rPr>
        <w:t>Single Tooth Implants:</w:t>
      </w:r>
      <w:r>
        <w:rPr>
          <w:rFonts w:ascii="Georgia" w:hAnsi="Georgia"/>
          <w:color w:val="333333"/>
          <w:sz w:val="22"/>
        </w:rPr>
        <w:t xml:space="preserve"> Full educational page. Process, timeline, candidacy, cost range, financing.</w:t>
      </w:r>
    </w:p>
    <w:p>
      <w:pPr>
        <w:pStyle w:val="ListBullet"/>
        <w:spacing w:before="40" w:after="40" w:line="312" w:lineRule="auto"/>
      </w:pPr>
      <w:r>
        <w:rPr>
          <w:rFonts w:ascii="Calibri" w:hAnsi="Calibri"/>
          <w:b/>
          <w:color w:val="333333"/>
          <w:sz w:val="22"/>
        </w:rPr>
        <w:t>All-on-4 / Full Arch:</w:t>
      </w:r>
      <w:r>
        <w:rPr>
          <w:rFonts w:ascii="Georgia" w:hAnsi="Georgia"/>
          <w:color w:val="333333"/>
          <w:sz w:val="22"/>
        </w:rPr>
        <w:t xml:space="preserve"> Detailed page. Candidacy, bone graft discussion, All-on-4 vs. All-on-X vs. implant-supported overdentures.</w:t>
      </w:r>
    </w:p>
    <w:p>
      <w:pPr>
        <w:pStyle w:val="ListBullet"/>
        <w:spacing w:before="40" w:after="40" w:line="312" w:lineRule="auto"/>
      </w:pPr>
      <w:r>
        <w:rPr>
          <w:rFonts w:ascii="Calibri" w:hAnsi="Calibri"/>
          <w:b/>
          <w:color w:val="333333"/>
          <w:sz w:val="22"/>
        </w:rPr>
        <w:t>Implant-Retained Dentures:</w:t>
      </w:r>
      <w:r>
        <w:rPr>
          <w:rFonts w:ascii="Georgia" w:hAnsi="Georgia"/>
          <w:color w:val="333333"/>
          <w:sz w:val="22"/>
        </w:rPr>
        <w:t xml:space="preserve"> Current page exists but is one paragraph. Needs full treatment.</w:t>
      </w:r>
    </w:p>
    <w:p>
      <w:pPr>
        <w:pStyle w:val="ListBullet"/>
        <w:spacing w:before="40" w:after="40" w:line="312" w:lineRule="auto"/>
      </w:pPr>
      <w:r>
        <w:rPr>
          <w:rFonts w:ascii="Calibri" w:hAnsi="Calibri"/>
          <w:b/>
          <w:color w:val="333333"/>
          <w:sz w:val="22"/>
        </w:rPr>
        <w:t>Why Dr. Hedges:</w:t>
      </w:r>
      <w:r>
        <w:rPr>
          <w:rFonts w:ascii="Georgia" w:hAnsi="Georgia"/>
          <w:color w:val="333333"/>
          <w:sz w:val="22"/>
        </w:rPr>
        <w:t xml:space="preserve"> Direct positioning page. Addresses the GP vs. specialist question. Addresses ClearChoice vs. private practice question.</w:t>
      </w:r>
    </w:p>
    <w:p>
      <w:pPr>
        <w:pStyle w:val="ListBullet"/>
        <w:spacing w:before="40" w:after="40" w:line="312" w:lineRule="auto"/>
      </w:pPr>
      <w:r>
        <w:rPr>
          <w:rFonts w:ascii="Calibri" w:hAnsi="Calibri"/>
          <w:b/>
          <w:color w:val="333333"/>
          <w:sz w:val="22"/>
        </w:rPr>
        <w:t>Patient Stories:</w:t>
      </w:r>
      <w:r>
        <w:rPr>
          <w:rFonts w:ascii="Georgia" w:hAnsi="Georgia"/>
          <w:color w:val="333333"/>
          <w:sz w:val="22"/>
        </w:rPr>
        <w:t xml:space="preserve"> First two to three transformation stories. Real patients. Real outcomes. The single most powerful conversion asset this practice does not have.</w:t>
      </w:r>
    </w:p>
    <w:p>
      <w:pPr>
        <w:pStyle w:val="ListBullet"/>
        <w:spacing w:before="40" w:after="40" w:line="312" w:lineRule="auto"/>
      </w:pPr>
      <w:r>
        <w:rPr>
          <w:rFonts w:ascii="Calibri" w:hAnsi="Calibri"/>
          <w:b/>
          <w:color w:val="333333"/>
          <w:sz w:val="22"/>
        </w:rPr>
        <w:t>Free Consultation Page:</w:t>
      </w:r>
      <w:r>
        <w:rPr>
          <w:rFonts w:ascii="Georgia" w:hAnsi="Georgia"/>
          <w:color w:val="333333"/>
          <w:sz w:val="22"/>
        </w:rPr>
        <w:t xml:space="preserve"> Dedicated landing page. "What to expect at your implant consultation with Dr. Hedges." Low-barrier entry point.</w:t>
      </w:r>
    </w:p>
    <w:p>
      <w:pPr>
        <w:spacing w:before="0" w:after="60"/>
      </w:pPr>
    </w:p>
    <w:p>
      <w:pPr>
        <w:spacing w:before="0" w:after="60" w:line="288" w:lineRule="auto"/>
      </w:pPr>
      <w:r>
        <w:rPr>
          <w:rFonts w:ascii="Calibri" w:hAnsi="Calibri"/>
          <w:b/>
          <w:color w:val="58585A"/>
          <w:sz w:val="20"/>
        </w:rPr>
        <w:t>Lead capture mechanism:</w:t>
      </w:r>
      <w:r>
        <w:rPr>
          <w:rFonts w:ascii="Calibri" w:hAnsi="Calibri"/>
          <w:color w:val="58585A"/>
          <w:sz w:val="20"/>
        </w:rPr>
        <w:t xml:space="preserve"> A simple opt-in: </w:t>
      </w:r>
      <w:r>
        <w:rPr>
          <w:rFonts w:ascii="Calibri" w:hAnsi="Calibri"/>
          <w:i/>
          <w:color w:val="58585A"/>
          <w:sz w:val="20"/>
        </w:rPr>
        <w:t>"The Louisville Implant Guide — 7 Things to Know Before You Commit to Dental Implants."</w:t>
      </w:r>
      <w:r>
        <w:rPr>
          <w:rFonts w:ascii="Calibri" w:hAnsi="Calibri"/>
          <w:color w:val="58585A"/>
          <w:sz w:val="20"/>
        </w:rPr>
        <w:t xml:space="preserve"> This captures patients in the research phase before they call, and enters them into a nurture sequence.</w:t>
      </w:r>
    </w:p>
    <w:p>
      <w:pPr>
        <w:spacing w:before="0" w:after="60"/>
      </w:pPr>
    </w:p>
    <w:p>
      <w:pPr>
        <w:spacing w:before="0" w:after="60" w:line="288" w:lineRule="auto"/>
      </w:pPr>
      <w:r>
        <w:rPr>
          <w:rFonts w:ascii="Calibri" w:hAnsi="Calibri"/>
          <w:b/>
          <w:color w:val="58585A"/>
          <w:sz w:val="20"/>
        </w:rPr>
        <w:t>Timeline:</w:t>
      </w:r>
      <w:r>
        <w:rPr>
          <w:rFonts w:ascii="Calibri" w:hAnsi="Calibri"/>
          <w:color w:val="58585A"/>
          <w:sz w:val="20"/>
        </w:rPr>
        <w:t xml:space="preserve"> 30–45 days to rebuild. This is the foundational digital asset for the implant growth strategy.</w:t>
      </w:r>
    </w:p>
    <w:p>
      <w:pPr>
        <w:spacing w:before="0" w:after="60"/>
      </w:pPr>
    </w:p>
    <w:p>
      <w:pPr>
        <w:spacing w:before="80" w:after="80"/>
        <w:pBdr>
          <w:bottom w:val="single" w:sz="6" w:space="1" w:color="25aae1"/>
        </w:pBdr>
      </w:pPr>
    </w:p>
    <w:p>
      <w:pPr>
        <w:spacing w:before="0" w:after="60"/>
      </w:pPr>
    </w:p>
    <w:p>
      <w:pPr>
        <w:spacing w:before="320" w:after="120"/>
        <w:pBdr>
          <w:bottom w:val="single" w:sz="4" w:space="1" w:color="CCCCCC"/>
        </w:pBdr>
      </w:pPr>
      <w:r>
        <w:rPr>
          <w:rFonts w:ascii="Calibri" w:hAnsi="Calibri"/>
          <w:b/>
          <w:color w:val="58585A"/>
          <w:sz w:val="26"/>
        </w:rPr>
        <w:t>SR-2: Deploy a ClearChoice Counter-Positioning Strategy</w:t>
      </w:r>
    </w:p>
    <w:p>
      <w:pPr>
        <w:spacing w:before="0" w:after="120" w:line="336" w:lineRule="auto"/>
      </w:pPr>
      <w:r>
        <w:rPr>
          <w:rFonts w:ascii="Georgia" w:hAnsi="Georgia"/>
          <w:color w:val="333333"/>
          <w:sz w:val="22"/>
        </w:rPr>
        <w:t>ClearChoice Dental Implant Center is located at 9351 Viking Center Drive — the same ZIP code as Hedges Dental. They spend significantly on TV, radio, and Google advertising in the Louisville market. They are the dominant brand for full-arch implants in this area. Here is what their marketing never says:</w:t>
      </w:r>
    </w:p>
    <w:p>
      <w:pPr>
        <w:spacing w:before="0" w:after="60"/>
      </w:pPr>
    </w:p>
    <w:p>
      <w:pPr>
        <w:pStyle w:val="ListBullet"/>
        <w:spacing w:before="40" w:after="40" w:line="312" w:lineRule="auto"/>
      </w:pPr>
      <w:r>
        <w:rPr>
          <w:rFonts w:ascii="Georgia" w:hAnsi="Georgia"/>
          <w:color w:val="333333"/>
          <w:sz w:val="22"/>
        </w:rPr>
        <w:t>ClearChoice does not accept dental insurance. Hedges Dental accepts Delta Dental.</w:t>
      </w:r>
    </w:p>
    <w:p>
      <w:pPr>
        <w:pStyle w:val="ListBullet"/>
        <w:spacing w:before="40" w:after="40" w:line="312" w:lineRule="auto"/>
      </w:pPr>
      <w:r>
        <w:rPr>
          <w:rFonts w:ascii="Georgia" w:hAnsi="Georgia"/>
          <w:color w:val="333333"/>
          <w:sz w:val="22"/>
        </w:rPr>
        <w:t>ClearChoice charges 25–40% above independent specialists for identical procedures. Full-arch averages $52,300 at ClearChoice vs. $30,000–$45,000 at a comparable independent practice.</w:t>
      </w:r>
    </w:p>
    <w:p>
      <w:pPr>
        <w:pStyle w:val="ListBullet"/>
        <w:spacing w:before="40" w:after="40" w:line="312" w:lineRule="auto"/>
      </w:pPr>
      <w:r>
        <w:rPr>
          <w:rFonts w:ascii="Georgia" w:hAnsi="Georgia"/>
          <w:color w:val="333333"/>
          <w:sz w:val="22"/>
        </w:rPr>
        <w:t>ClearChoice is a corporate chain. Dr. Hedges is a locally-owned private practice where you see the same doctor every time.</w:t>
      </w:r>
    </w:p>
    <w:p>
      <w:pPr>
        <w:pStyle w:val="ListBullet"/>
        <w:spacing w:before="40" w:after="40" w:line="312" w:lineRule="auto"/>
      </w:pPr>
      <w:r>
        <w:rPr>
          <w:rFonts w:ascii="Georgia" w:hAnsi="Georgia"/>
          <w:color w:val="333333"/>
          <w:sz w:val="22"/>
        </w:rPr>
        <w:t>ClearChoice reviews across Reddit and consumer platforms average 3.2/5, with the most common complaint being financial transparency. Independent Google/Birdeye reviews are better (4.6) but the underlying trust concern is real and exploitable.</w:t>
      </w:r>
    </w:p>
    <w:p>
      <w:pPr>
        <w:spacing w:before="0" w:after="60"/>
      </w:pPr>
    </w:p>
    <w:p>
      <w:pPr>
        <w:spacing w:before="0" w:after="60" w:line="288" w:lineRule="auto"/>
      </w:pPr>
      <w:r>
        <w:rPr>
          <w:rFonts w:ascii="Calibri" w:hAnsi="Calibri"/>
          <w:b/>
          <w:color w:val="58585A"/>
          <w:sz w:val="20"/>
        </w:rPr>
        <w:t>The positioning play:</w:t>
      </w:r>
    </w:p>
    <w:p>
      <w:pPr>
        <w:spacing w:before="0" w:after="120" w:line="336" w:lineRule="auto"/>
      </w:pPr>
      <w:r>
        <w:rPr>
          <w:rFonts w:ascii="Georgia" w:hAnsi="Georgia"/>
          <w:color w:val="333333"/>
          <w:sz w:val="22"/>
        </w:rPr>
        <w:t>Dr. Hedges does not need to name ClearChoice. He needs to own the contrast category they leave open. Content framing:</w:t>
      </w:r>
    </w:p>
    <w:p>
      <w:pPr>
        <w:spacing w:before="200" w:after="200"/>
        <w:ind w:left="360"/>
        <w:shd w:fill="F5F5F5" w:color="auto" w:val="clear"/>
        <w:pBdr>
          <w:left w:val="single" w:sz="24" w:space="144" w:color="25aae1"/>
        </w:pBdr>
      </w:pPr>
      <w:r>
        <w:rPr>
          <w:rFonts w:ascii="Calibri" w:hAnsi="Calibri"/>
          <w:i/>
          <w:color w:val="58585A"/>
          <w:sz w:val="22"/>
        </w:rPr>
        <w:t>"Why Louisville implant patients are choosing private practices over corporate implant centers."</w:t>
      </w:r>
    </w:p>
    <w:p>
      <w:pPr>
        <w:spacing w:before="200" w:after="200"/>
        <w:ind w:left="360"/>
        <w:shd w:fill="F5F5F5" w:color="auto" w:val="clear"/>
        <w:pBdr>
          <w:left w:val="single" w:sz="24" w:space="144" w:color="25aae1"/>
        </w:pBdr>
      </w:pPr>
      <w:r>
        <w:rPr>
          <w:rFonts w:ascii="Calibri" w:hAnsi="Calibri"/>
          <w:i/>
          <w:color w:val="58585A"/>
          <w:sz w:val="22"/>
        </w:rPr>
        <w:t>"Same quality. Local care. No corporate price tag."</w:t>
      </w:r>
    </w:p>
    <w:p>
      <w:pPr>
        <w:spacing w:before="200" w:after="200"/>
        <w:ind w:left="360"/>
        <w:shd w:fill="F5F5F5" w:color="auto" w:val="clear"/>
        <w:pBdr>
          <w:left w:val="single" w:sz="24" w:space="144" w:color="25aae1"/>
        </w:pBdr>
      </w:pPr>
      <w:r>
        <w:rPr>
          <w:rFonts w:ascii="Calibri" w:hAnsi="Calibri"/>
          <w:i/>
          <w:color w:val="58585A"/>
          <w:sz w:val="22"/>
        </w:rPr>
        <w:t>"At Hedges Dental, you'll see the same doctor from your first consultation to your final crown — not a rotating staff of specialists in a clinical center."</w:t>
      </w:r>
    </w:p>
    <w:p>
      <w:pPr>
        <w:spacing w:before="0" w:after="60"/>
      </w:pPr>
    </w:p>
    <w:p>
      <w:pPr>
        <w:spacing w:before="0" w:after="120" w:line="336" w:lineRule="auto"/>
      </w:pPr>
      <w:r>
        <w:rPr>
          <w:rFonts w:ascii="Georgia" w:hAnsi="Georgia"/>
          <w:color w:val="333333"/>
          <w:sz w:val="22"/>
        </w:rPr>
        <w:t>This framing will resonate with the 30–40% of implant-researching patients who have already been to a ClearChoice consultation, received a $55,000 quote, and are now looking for alternatives.</w:t>
      </w:r>
    </w:p>
    <w:p>
      <w:pPr>
        <w:spacing w:before="0" w:after="60"/>
      </w:pPr>
    </w:p>
    <w:p>
      <w:pPr>
        <w:spacing w:before="0" w:after="60" w:line="288" w:lineRule="auto"/>
      </w:pPr>
      <w:r>
        <w:rPr>
          <w:rFonts w:ascii="Calibri" w:hAnsi="Calibri"/>
          <w:b/>
          <w:color w:val="58585A"/>
          <w:sz w:val="20"/>
        </w:rPr>
        <w:t>Channels:</w:t>
      </w:r>
      <w:r>
        <w:rPr>
          <w:rFonts w:ascii="Calibri" w:hAnsi="Calibri"/>
          <w:color w:val="58585A"/>
          <w:sz w:val="20"/>
        </w:rPr>
        <w:t xml:space="preserve"> toplouisvilledentist.com page, Google Ads copy, YouTube content, email subject lines.</w:t>
      </w:r>
    </w:p>
    <w:p>
      <w:pPr>
        <w:spacing w:before="0" w:after="60"/>
      </w:pPr>
    </w:p>
    <w:p>
      <w:pPr>
        <w:spacing w:before="80" w:after="80"/>
        <w:pBdr>
          <w:bottom w:val="single" w:sz="6" w:space="1" w:color="25aae1"/>
        </w:pBdr>
      </w:pPr>
    </w:p>
    <w:p>
      <w:pPr>
        <w:spacing w:before="0" w:after="60"/>
      </w:pPr>
    </w:p>
    <w:p>
      <w:pPr>
        <w:spacing w:before="320" w:after="120"/>
        <w:pBdr>
          <w:bottom w:val="single" w:sz="4" w:space="1" w:color="CCCCCC"/>
        </w:pBdr>
      </w:pPr>
      <w:r>
        <w:rPr>
          <w:rFonts w:ascii="Calibri" w:hAnsi="Calibri"/>
          <w:b/>
          <w:color w:val="58585A"/>
          <w:sz w:val="26"/>
        </w:rPr>
        <w:t>SR-3: Initiate a Nelson &amp; Lowy Referral Partnership</w:t>
      </w:r>
    </w:p>
    <w:p>
      <w:pPr>
        <w:spacing w:before="0" w:after="120" w:line="336" w:lineRule="auto"/>
      </w:pPr>
      <w:r>
        <w:rPr>
          <w:rFonts w:ascii="Georgia" w:hAnsi="Georgia"/>
          <w:color w:val="333333"/>
          <w:sz w:val="22"/>
        </w:rPr>
        <w:t>Nelson &amp; Lowy PSC — the periodontist practice at 2015 Herr Lane, Suite 3 — is in the same building as Hedges Dental. They have been practicing since 1987. Both doctors hold University of Louisville faculty appointments. They are the referral hub for periodontal needs in this corridor of Louisville.</w:t>
      </w:r>
    </w:p>
    <w:p>
      <w:pPr>
        <w:spacing w:before="0" w:after="60"/>
      </w:pPr>
    </w:p>
    <w:p>
      <w:pPr>
        <w:spacing w:before="0" w:after="120" w:line="336" w:lineRule="auto"/>
      </w:pPr>
      <w:r>
        <w:rPr>
          <w:rFonts w:ascii="Georgia" w:hAnsi="Georgia"/>
          <w:color w:val="333333"/>
          <w:sz w:val="22"/>
        </w:rPr>
        <w:t>This is currently either a missed opportunity or an untapped partnership — and the geography makes a formal relationship unusually natural to propose.</w:t>
      </w:r>
    </w:p>
    <w:p>
      <w:pPr>
        <w:spacing w:before="0" w:after="60"/>
      </w:pPr>
    </w:p>
    <w:p>
      <w:pPr>
        <w:spacing w:before="0" w:after="60" w:line="288" w:lineRule="auto"/>
      </w:pPr>
      <w:r>
        <w:rPr>
          <w:rFonts w:ascii="Calibri" w:hAnsi="Calibri"/>
          <w:b/>
          <w:color w:val="58585A"/>
          <w:sz w:val="20"/>
        </w:rPr>
        <w:t>The opportunity:</w:t>
      </w:r>
      <w:r>
        <w:rPr>
          <w:rFonts w:ascii="Calibri" w:hAnsi="Calibri"/>
          <w:color w:val="58585A"/>
          <w:sz w:val="20"/>
        </w:rPr>
        <w:t xml:space="preserve"> Periodontists regularly see patients with significant bone loss, gum disease, and failing teeth. Many of these patients are eventual implant candidates. The traditional pathway is: periodontist treats the perio disease, then refers to an oral surgeon for extraction and implant placement, then the patient goes back to their GP for the crown. Dr. Hedges can be the GP in that loop — and given the shared building, the relationship is already geographically convenient.</w:t>
      </w:r>
    </w:p>
    <w:p>
      <w:pPr>
        <w:spacing w:before="0" w:after="60"/>
      </w:pPr>
    </w:p>
    <w:p>
      <w:pPr>
        <w:spacing w:before="0" w:after="60" w:line="288" w:lineRule="auto"/>
      </w:pPr>
      <w:r>
        <w:rPr>
          <w:rFonts w:ascii="Calibri" w:hAnsi="Calibri"/>
          <w:b/>
          <w:color w:val="58585A"/>
          <w:sz w:val="20"/>
        </w:rPr>
        <w:t>What to offer Nelson &amp; Lowy:</w:t>
      </w:r>
    </w:p>
    <w:p>
      <w:pPr>
        <w:pStyle w:val="ListBullet"/>
        <w:spacing w:before="40" w:after="40" w:line="312" w:lineRule="auto"/>
      </w:pPr>
      <w:r>
        <w:rPr>
          <w:rFonts w:ascii="Georgia" w:hAnsi="Georgia"/>
          <w:color w:val="333333"/>
          <w:sz w:val="22"/>
        </w:rPr>
        <w:t>Dr. Hedges handles all restorative/implant crown work for their surgical cases</w:t>
      </w:r>
    </w:p>
    <w:p>
      <w:pPr>
        <w:pStyle w:val="ListBullet"/>
        <w:spacing w:before="40" w:after="40" w:line="312" w:lineRule="auto"/>
      </w:pPr>
      <w:r>
        <w:rPr>
          <w:rFonts w:ascii="Georgia" w:hAnsi="Georgia"/>
          <w:color w:val="333333"/>
          <w:sz w:val="22"/>
        </w:rPr>
        <w:t>When complex surgical cases exceed Dr. Hedges' scope, he refers to Nelson &amp; Lowy for the surgical component</w:t>
      </w:r>
    </w:p>
    <w:p>
      <w:pPr>
        <w:pStyle w:val="ListBullet"/>
        <w:spacing w:before="40" w:after="40" w:line="312" w:lineRule="auto"/>
      </w:pPr>
      <w:r>
        <w:rPr>
          <w:rFonts w:ascii="Georgia" w:hAnsi="Georgia"/>
          <w:color w:val="333333"/>
          <w:sz w:val="22"/>
        </w:rPr>
        <w:t>Both practices co-brand educational content ("Your comprehensive implant team, right here on Herr Lane")</w:t>
      </w:r>
    </w:p>
    <w:p>
      <w:pPr>
        <w:spacing w:before="0" w:after="60"/>
      </w:pPr>
    </w:p>
    <w:p>
      <w:pPr>
        <w:spacing w:before="0" w:after="60" w:line="288" w:lineRule="auto"/>
      </w:pPr>
      <w:r>
        <w:rPr>
          <w:rFonts w:ascii="Calibri" w:hAnsi="Calibri"/>
          <w:b/>
          <w:color w:val="58585A"/>
          <w:sz w:val="20"/>
        </w:rPr>
        <w:t>The revenue math:</w:t>
      </w:r>
      <w:r>
        <w:rPr>
          <w:rFonts w:ascii="Calibri" w:hAnsi="Calibri"/>
          <w:color w:val="58585A"/>
          <w:sz w:val="20"/>
        </w:rPr>
        <w:t xml:space="preserve"> If Nelson &amp; Lowy refer 3–5 restorative implant cases per month to Dr. Hedges at a blended $5,500/case, that is $16,500–$27,500 in additional monthly production with zero marketing spend.</w:t>
      </w:r>
    </w:p>
    <w:p>
      <w:pPr>
        <w:spacing w:before="0" w:after="60"/>
      </w:pPr>
    </w:p>
    <w:p>
      <w:pPr>
        <w:spacing w:before="0" w:after="60" w:line="288" w:lineRule="auto"/>
      </w:pPr>
      <w:r>
        <w:rPr>
          <w:rFonts w:ascii="Calibri" w:hAnsi="Calibri"/>
          <w:b/>
          <w:color w:val="58585A"/>
          <w:sz w:val="20"/>
        </w:rPr>
        <w:t>First move:</w:t>
      </w:r>
      <w:r>
        <w:rPr>
          <w:rFonts w:ascii="Calibri" w:hAnsi="Calibri"/>
          <w:color w:val="58585A"/>
          <w:sz w:val="20"/>
        </w:rPr>
        <w:t xml:space="preserve"> Dr. Hedges introduces himself (if he hasn't already), brings lunch to the Nelson &amp; Lowy team, and proposes a formal cross-referral arrangement.</w:t>
      </w:r>
    </w:p>
    <w:p>
      <w:pPr>
        <w:spacing w:before="0" w:after="60"/>
      </w:pPr>
    </w:p>
    <w:p>
      <w:pPr>
        <w:spacing w:before="80" w:after="80"/>
        <w:pBdr>
          <w:bottom w:val="single" w:sz="6" w:space="1" w:color="25aae1"/>
        </w:pBdr>
      </w:pPr>
    </w:p>
    <w:p>
      <w:pPr>
        <w:spacing w:before="0" w:after="60"/>
      </w:pPr>
    </w:p>
    <w:p>
      <w:pPr>
        <w:spacing w:before="320" w:after="120"/>
        <w:pBdr>
          <w:bottom w:val="single" w:sz="4" w:space="1" w:color="CCCCCC"/>
        </w:pBdr>
      </w:pPr>
      <w:r>
        <w:rPr>
          <w:rFonts w:ascii="Calibri" w:hAnsi="Calibri"/>
          <w:b/>
          <w:color w:val="58585A"/>
          <w:sz w:val="26"/>
        </w:rPr>
        <w:t>SR-4: Launch a Dormant Implant-Diagnosed Patient Reactivation Campaign</w:t>
      </w:r>
    </w:p>
    <w:p>
      <w:pPr>
        <w:spacing w:before="0" w:after="120" w:line="336" w:lineRule="auto"/>
      </w:pPr>
      <w:r>
        <w:rPr>
          <w:rFonts w:ascii="Georgia" w:hAnsi="Georgia"/>
          <w:color w:val="333333"/>
          <w:sz w:val="22"/>
        </w:rPr>
        <w:t>Every dental practice that has been open for 18+ months has patients who received an implant diagnosis and never scheduled. They were told "you need an implant here" and said "let me think about it." They thought about it and then got busy and forgot. They did not decline — they deferred.</w:t>
      </w:r>
    </w:p>
    <w:p>
      <w:pPr>
        <w:spacing w:before="0" w:after="60"/>
      </w:pPr>
    </w:p>
    <w:p>
      <w:pPr>
        <w:spacing w:before="0" w:after="120" w:line="336" w:lineRule="auto"/>
      </w:pPr>
      <w:r>
        <w:rPr>
          <w:rFonts w:ascii="Georgia" w:hAnsi="Georgia"/>
          <w:color w:val="333333"/>
          <w:sz w:val="22"/>
        </w:rPr>
        <w:t>At Hedges Dental's current practice age and patient volume, there are likely 20–50 patients in this category sitting in the practice management software right now.</w:t>
      </w:r>
    </w:p>
    <w:p>
      <w:pPr>
        <w:spacing w:before="0" w:after="60"/>
      </w:pPr>
    </w:p>
    <w:p>
      <w:pPr>
        <w:spacing w:before="0" w:after="60" w:line="288" w:lineRule="auto"/>
      </w:pPr>
      <w:r>
        <w:rPr>
          <w:rFonts w:ascii="Calibri" w:hAnsi="Calibri"/>
          <w:b/>
          <w:color w:val="58585A"/>
          <w:sz w:val="20"/>
        </w:rPr>
        <w:t>The campaign:</w:t>
      </w:r>
      <w:r>
        <w:rPr>
          <w:rFonts w:ascii="Calibri" w:hAnsi="Calibri"/>
          <w:color w:val="58585A"/>
          <w:sz w:val="20"/>
        </w:rPr>
        <w:t xml:space="preserve"> A 3-touch sequence (text + email + postcard) targeting patients with open implant treatment plans:</w:t>
      </w:r>
    </w:p>
    <w:p>
      <w:pPr>
        <w:spacing w:before="0" w:after="60"/>
      </w:pPr>
    </w:p>
    <w:p>
      <w:pPr>
        <w:pStyle w:val="ListBullet"/>
        <w:spacing w:before="40" w:after="40" w:line="312" w:lineRule="auto"/>
      </w:pPr>
      <w:r>
        <w:rPr>
          <w:rFonts w:ascii="Calibri" w:hAnsi="Calibri"/>
          <w:b/>
          <w:color w:val="333333"/>
          <w:sz w:val="22"/>
        </w:rPr>
        <w:t>Touch 1 (text):</w:t>
      </w:r>
      <w:r>
        <w:rPr>
          <w:rFonts w:ascii="Georgia" w:hAnsi="Georgia"/>
          <w:color w:val="333333"/>
          <w:sz w:val="22"/>
        </w:rPr>
        <w:t xml:space="preserve"> "Hi [Name], this is Christy at Hedges Dental. Dr. Hedges wanted to follow up — your records show you were diagnosed with a missing tooth that's a great candidate for an implant. We're offering complimentary implant consultations this month. Would you like to schedule 20 minutes with Dr. Hedges?"</w:t>
      </w:r>
    </w:p>
    <w:p>
      <w:pPr>
        <w:pStyle w:val="ListBullet"/>
        <w:spacing w:before="40" w:after="40" w:line="312" w:lineRule="auto"/>
      </w:pPr>
      <w:r>
        <w:rPr>
          <w:rFonts w:ascii="Calibri" w:hAnsi="Calibri"/>
          <w:b/>
          <w:color w:val="333333"/>
          <w:sz w:val="22"/>
        </w:rPr>
        <w:t>Touch 2 (email, 5 days later):</w:t>
      </w:r>
      <w:r>
        <w:rPr>
          <w:rFonts w:ascii="Georgia" w:hAnsi="Georgia"/>
          <w:color w:val="333333"/>
          <w:sz w:val="22"/>
        </w:rPr>
        <w:t xml:space="preserve"> Educational content — "What happens to your jaw when a missing tooth goes untreated" — soft CTA to schedule</w:t>
      </w:r>
    </w:p>
    <w:p>
      <w:pPr>
        <w:pStyle w:val="ListBullet"/>
        <w:spacing w:before="40" w:after="40" w:line="312" w:lineRule="auto"/>
      </w:pPr>
      <w:r>
        <w:rPr>
          <w:rFonts w:ascii="Calibri" w:hAnsi="Calibri"/>
          <w:b/>
          <w:color w:val="333333"/>
          <w:sz w:val="22"/>
        </w:rPr>
        <w:t>Touch 3 (postcard, 10 days later):</w:t>
      </w:r>
      <w:r>
        <w:rPr>
          <w:rFonts w:ascii="Georgia" w:hAnsi="Georgia"/>
          <w:color w:val="333333"/>
          <w:sz w:val="22"/>
        </w:rPr>
        <w:t xml:space="preserve"> Before/after photo, "Your consultation is complimentary. No commitment. Just answers."</w:t>
      </w:r>
    </w:p>
    <w:p>
      <w:pPr>
        <w:spacing w:before="0" w:after="60"/>
      </w:pPr>
    </w:p>
    <w:p>
      <w:pPr>
        <w:spacing w:before="0" w:after="60" w:line="288" w:lineRule="auto"/>
      </w:pPr>
      <w:r>
        <w:rPr>
          <w:rFonts w:ascii="Calibri" w:hAnsi="Calibri"/>
          <w:b/>
          <w:color w:val="58585A"/>
          <w:sz w:val="20"/>
        </w:rPr>
        <w:t>Timeline to first case:</w:t>
      </w:r>
      <w:r>
        <w:rPr>
          <w:rFonts w:ascii="Calibri" w:hAnsi="Calibri"/>
          <w:color w:val="58585A"/>
          <w:sz w:val="20"/>
        </w:rPr>
        <w:t xml:space="preserve"> 2–3 weeks.</w:t>
      </w:r>
    </w:p>
    <w:p>
      <w:pPr>
        <w:spacing w:before="0" w:after="60" w:line="288" w:lineRule="auto"/>
      </w:pPr>
      <w:r>
        <w:rPr>
          <w:rFonts w:ascii="Calibri" w:hAnsi="Calibri"/>
          <w:b/>
          <w:color w:val="58585A"/>
          <w:sz w:val="20"/>
        </w:rPr>
        <w:t>Cost:</w:t>
      </w:r>
      <w:r>
        <w:rPr>
          <w:rFonts w:ascii="Calibri" w:hAnsi="Calibri"/>
          <w:color w:val="58585A"/>
          <w:sz w:val="20"/>
        </w:rPr>
        <w:t xml:space="preserve"> Near zero (practice management software + postcard printing).</w:t>
      </w:r>
    </w:p>
    <w:p>
      <w:pPr>
        <w:spacing w:before="0" w:after="60" w:line="288" w:lineRule="auto"/>
      </w:pPr>
      <w:r>
        <w:rPr>
          <w:rFonts w:ascii="Calibri" w:hAnsi="Calibri"/>
          <w:b/>
          <w:color w:val="58585A"/>
          <w:sz w:val="20"/>
        </w:rPr>
        <w:t>Expected return:</w:t>
      </w:r>
      <w:r>
        <w:rPr>
          <w:rFonts w:ascii="Calibri" w:hAnsi="Calibri"/>
          <w:color w:val="58585A"/>
          <w:sz w:val="20"/>
        </w:rPr>
        <w:t xml:space="preserve"> 1–3 booked consultations per campaign cycle.</w:t>
      </w:r>
    </w:p>
    <w:p>
      <w:pPr>
        <w:spacing w:before="0" w:after="60"/>
      </w:pPr>
    </w:p>
    <w:p>
      <w:pPr>
        <w:spacing w:before="80" w:after="80"/>
        <w:pBdr>
          <w:bottom w:val="single" w:sz="6" w:space="1" w:color="25aae1"/>
        </w:pBdr>
      </w:pPr>
    </w:p>
    <w:p>
      <w:pPr>
        <w:spacing w:before="0" w:after="60"/>
      </w:pPr>
    </w:p>
    <w:p>
      <w:pPr>
        <w:spacing w:before="320" w:after="120"/>
        <w:pBdr>
          <w:bottom w:val="single" w:sz="4" w:space="1" w:color="CCCCCC"/>
        </w:pBdr>
      </w:pPr>
      <w:r>
        <w:rPr>
          <w:rFonts w:ascii="Calibri" w:hAnsi="Calibri"/>
          <w:b/>
          <w:color w:val="58585A"/>
          <w:sz w:val="26"/>
        </w:rPr>
        <w:t>SR-5: Build a Patient Transformation Gallery (Before/After Stories)</w:t>
      </w:r>
    </w:p>
    <w:p>
      <w:pPr>
        <w:spacing w:before="0" w:after="120" w:line="336" w:lineRule="auto"/>
      </w:pPr>
      <w:r>
        <w:rPr>
          <w:rFonts w:ascii="Georgia" w:hAnsi="Georgia"/>
          <w:color w:val="333333"/>
          <w:sz w:val="22"/>
        </w:rPr>
        <w:t>This is the most important single content asset Hedges Dental does not have.</w:t>
      </w:r>
    </w:p>
    <w:p>
      <w:pPr>
        <w:spacing w:before="0" w:after="60"/>
      </w:pPr>
    </w:p>
    <w:p>
      <w:pPr>
        <w:spacing w:before="0" w:after="120" w:line="336" w:lineRule="auto"/>
      </w:pPr>
      <w:r>
        <w:rPr>
          <w:rFonts w:ascii="Georgia" w:hAnsi="Georgia"/>
          <w:color w:val="333333"/>
          <w:sz w:val="22"/>
        </w:rPr>
        <w:t xml:space="preserve">An implant patient is not buying a tooth. They are buying the confidence to smile, to eat, to speak without self-consciousness. The most powerful thing Dr. Hedges can put on his website is a real patient saying: </w:t>
      </w:r>
      <w:r>
        <w:rPr>
          <w:rFonts w:ascii="Calibri" w:hAnsi="Calibri"/>
          <w:i/>
          <w:color w:val="58585A"/>
          <w:sz w:val="22"/>
        </w:rPr>
        <w:t>"I hid my smile for four years. Now I can't stop smiling."</w:t>
      </w:r>
    </w:p>
    <w:p>
      <w:pPr>
        <w:spacing w:before="0" w:after="60"/>
      </w:pPr>
    </w:p>
    <w:p>
      <w:pPr>
        <w:spacing w:before="0" w:after="120" w:line="336" w:lineRule="auto"/>
      </w:pPr>
      <w:r>
        <w:rPr>
          <w:rFonts w:ascii="Georgia" w:hAnsi="Georgia"/>
          <w:color w:val="333333"/>
          <w:sz w:val="22"/>
        </w:rPr>
        <w:t>Every competitor in the Louisville implant market has before/after photos. Most have clinical photos — before/after images of the teeth. What they mostly do not have is compelling patient narratives alongside those photos. The transformation story, in the patient's own words, is what converts a researcher into a caller.</w:t>
      </w:r>
    </w:p>
    <w:p>
      <w:pPr>
        <w:spacing w:before="0" w:after="60"/>
      </w:pPr>
    </w:p>
    <w:p>
      <w:pPr>
        <w:spacing w:before="0" w:after="60" w:line="288" w:lineRule="auto"/>
      </w:pPr>
      <w:r>
        <w:rPr>
          <w:rFonts w:ascii="Calibri" w:hAnsi="Calibri"/>
          <w:b/>
          <w:color w:val="58585A"/>
          <w:sz w:val="20"/>
        </w:rPr>
        <w:t>Build plan:</w:t>
      </w:r>
    </w:p>
    <w:p>
      <w:pPr>
        <w:pStyle w:val="ListBullet"/>
        <w:spacing w:before="40" w:after="40" w:line="312" w:lineRule="auto"/>
      </w:pPr>
      <w:r>
        <w:rPr>
          <w:rFonts w:ascii="Georgia" w:hAnsi="Georgia"/>
          <w:color w:val="333333"/>
          <w:sz w:val="22"/>
        </w:rPr>
        <w:t>Identify 3–5 completed implant patients who have had excellent results and have a good story</w:t>
      </w:r>
    </w:p>
    <w:p>
      <w:pPr>
        <w:pStyle w:val="ListBullet"/>
        <w:spacing w:before="40" w:after="40" w:line="312" w:lineRule="auto"/>
      </w:pPr>
      <w:r>
        <w:rPr>
          <w:rFonts w:ascii="Georgia" w:hAnsi="Georgia"/>
          <w:color w:val="333333"/>
          <w:sz w:val="22"/>
        </w:rPr>
        <w:t>Ask Christy to approach them: "Dr. Hedges would love to feature your experience on our website — it helps other people who are nervous about the process."</w:t>
      </w:r>
    </w:p>
    <w:p>
      <w:pPr>
        <w:pStyle w:val="ListBullet"/>
        <w:spacing w:before="40" w:after="40" w:line="312" w:lineRule="auto"/>
      </w:pPr>
      <w:r>
        <w:rPr>
          <w:rFonts w:ascii="Georgia" w:hAnsi="Georgia"/>
          <w:color w:val="333333"/>
          <w:sz w:val="22"/>
        </w:rPr>
        <w:t>Capture: a 2-paragraph written testimonial, a before/after photo set (with HIPAA-compliant release), ideally a short 60-second video on a phone</w:t>
      </w:r>
    </w:p>
    <w:p>
      <w:pPr>
        <w:pStyle w:val="ListBullet"/>
        <w:spacing w:before="40" w:after="40" w:line="312" w:lineRule="auto"/>
      </w:pPr>
      <w:r>
        <w:rPr>
          <w:rFonts w:ascii="Georgia" w:hAnsi="Georgia"/>
          <w:color w:val="333333"/>
          <w:sz w:val="22"/>
        </w:rPr>
        <w:t>Publish on toplouisvilledentist.com as dedicated patient story pages</w:t>
      </w:r>
    </w:p>
    <w:p>
      <w:pPr>
        <w:spacing w:before="0" w:after="60"/>
      </w:pPr>
    </w:p>
    <w:p>
      <w:pPr>
        <w:spacing w:before="0" w:after="60" w:line="288" w:lineRule="auto"/>
      </w:pPr>
      <w:r>
        <w:rPr>
          <w:rFonts w:ascii="Calibri" w:hAnsi="Calibri"/>
          <w:b/>
          <w:color w:val="58585A"/>
          <w:sz w:val="20"/>
        </w:rPr>
        <w:t>These stories become:</w:t>
      </w:r>
      <w:r>
        <w:rPr>
          <w:rFonts w:ascii="Calibri" w:hAnsi="Calibri"/>
          <w:color w:val="58585A"/>
          <w:sz w:val="20"/>
        </w:rPr>
        <w:t xml:space="preserve"> website content, Google review prompts, social media posts, email content, and YouTube thumbnail hooks. One good patient story produces 15+ pieces of content.</w:t>
      </w:r>
    </w:p>
    <w:p>
      <w:pPr>
        <w:spacing w:before="0" w:after="60"/>
      </w:pPr>
    </w:p>
    <w:p>
      <w:pPr>
        <w:spacing w:before="80" w:after="80"/>
        <w:pBdr>
          <w:bottom w:val="single" w:sz="6" w:space="1" w:color="25aae1"/>
        </w:pBdr>
      </w:pPr>
    </w:p>
    <w:p>
      <w:pPr>
        <w:spacing w:before="0" w:after="60"/>
      </w:pPr>
    </w:p>
    <w:p>
      <w:r>
        <w:br w:type="page"/>
      </w:r>
    </w:p>
    <w:p>
      <w:pPr>
        <w:spacing w:before="0" w:after="160"/>
        <w:pBdr>
          <w:bottom w:val="single" w:sz="8" w:space="1" w:color="25aae1"/>
        </w:pBdr>
      </w:pPr>
      <w:r>
        <w:rPr>
          <w:rFonts w:ascii="Calibri" w:hAnsi="Calibri"/>
          <w:b/>
          <w:color w:val="25AAE1"/>
          <w:sz w:val="40"/>
        </w:rPr>
        <w:t>Long-Term Initiatives (This Quarter)</w:t>
      </w:r>
    </w:p>
    <w:p>
      <w:pPr>
        <w:spacing w:before="0" w:after="60"/>
      </w:pPr>
    </w:p>
    <w:p>
      <w:pPr>
        <w:spacing w:before="320" w:after="120"/>
        <w:pBdr>
          <w:bottom w:val="single" w:sz="4" w:space="1" w:color="CCCCCC"/>
        </w:pBdr>
      </w:pPr>
      <w:r>
        <w:rPr>
          <w:rFonts w:ascii="Calibri" w:hAnsi="Calibri"/>
          <w:b/>
          <w:color w:val="58585A"/>
          <w:sz w:val="26"/>
        </w:rPr>
        <w:t>LTI-1: Full Website Rebuild — Both Properties</w:t>
      </w:r>
    </w:p>
    <w:p>
      <w:pPr>
        <w:spacing w:before="0" w:after="120" w:line="336" w:lineRule="auto"/>
      </w:pPr>
      <w:r>
        <w:rPr>
          <w:rFonts w:ascii="Georgia" w:hAnsi="Georgia"/>
          <w:color w:val="333333"/>
          <w:sz w:val="22"/>
        </w:rPr>
        <w:t>The current hedgesdental.com and toplouisvilledentist.com need a strategic rebuild, not a refresh. Both sites were built with the same cookie-cutter structure and do not reflect the positioning of an implant authority. This is the foundational piece of the entire growth system.</w:t>
      </w:r>
    </w:p>
    <w:p>
      <w:pPr>
        <w:spacing w:before="0" w:after="60"/>
      </w:pPr>
    </w:p>
    <w:p>
      <w:pPr>
        <w:spacing w:before="0" w:after="60" w:line="288" w:lineRule="auto"/>
      </w:pPr>
      <w:r>
        <w:rPr>
          <w:rFonts w:ascii="Calibri" w:hAnsi="Calibri"/>
          <w:b/>
          <w:color w:val="58585A"/>
          <w:sz w:val="20"/>
        </w:rPr>
        <w:t>hedgesdental.com — Rebuild as:</w:t>
      </w:r>
      <w:r>
        <w:rPr>
          <w:rFonts w:ascii="Calibri" w:hAnsi="Calibri"/>
          <w:color w:val="58585A"/>
          <w:sz w:val="20"/>
        </w:rPr>
        <w:t xml:space="preserve"> Full-service practice site with implants as the flagship service. Keep general dentistry visible (supports existing patients, supports insurance-driven discovery) but lead with implant authority. Every page should funnel implant-curious visitors toward toplouisvilledentist.com or toward a consultation booking.</w:t>
      </w:r>
    </w:p>
    <w:p>
      <w:pPr>
        <w:spacing w:before="0" w:after="60"/>
      </w:pPr>
    </w:p>
    <w:p>
      <w:pPr>
        <w:spacing w:before="0" w:after="60" w:line="288" w:lineRule="auto"/>
      </w:pPr>
      <w:r>
        <w:rPr>
          <w:rFonts w:ascii="Calibri" w:hAnsi="Calibri"/>
          <w:b/>
          <w:color w:val="58585A"/>
          <w:sz w:val="20"/>
        </w:rPr>
        <w:t>toplouisvilledentist.com — Rebuild as:</w:t>
      </w:r>
      <w:r>
        <w:rPr>
          <w:rFonts w:ascii="Calibri" w:hAnsi="Calibri"/>
          <w:color w:val="58585A"/>
          <w:sz w:val="20"/>
        </w:rPr>
        <w:t xml:space="preserve"> The dedicated implant authority conversion site (per SR-1). This site's one job is to convert implant-researching patients into consultation bookings. It should have zero general dentistry content. It is the "implant practice within the practice."</w:t>
      </w:r>
    </w:p>
    <w:p>
      <w:pPr>
        <w:spacing w:before="0" w:after="60"/>
      </w:pPr>
    </w:p>
    <w:p>
      <w:pPr>
        <w:spacing w:before="0" w:after="60" w:line="288" w:lineRule="auto"/>
      </w:pPr>
      <w:r>
        <w:rPr>
          <w:rFonts w:ascii="Calibri" w:hAnsi="Calibri"/>
          <w:b/>
          <w:color w:val="58585A"/>
          <w:sz w:val="20"/>
        </w:rPr>
        <w:t>Copy hierarchy:</w:t>
      </w:r>
    </w:p>
    <w:p>
      <w:pPr>
        <w:pStyle w:val="ListBullet"/>
        <w:spacing w:before="40" w:after="40" w:line="312" w:lineRule="auto"/>
      </w:pPr>
      <w:r>
        <w:rPr>
          <w:rFonts w:ascii="Georgia" w:hAnsi="Georgia"/>
          <w:color w:val="333333"/>
          <w:sz w:val="22"/>
        </w:rPr>
        <w:t>Audrey Voss (Full-Site Web Copy Writer) produces both sites</w:t>
      </w:r>
    </w:p>
    <w:p>
      <w:pPr>
        <w:pStyle w:val="ListBullet"/>
        <w:spacing w:before="40" w:after="40" w:line="312" w:lineRule="auto"/>
      </w:pPr>
      <w:r>
        <w:rPr>
          <w:rFonts w:ascii="Georgia" w:hAnsi="Georgia"/>
          <w:color w:val="333333"/>
          <w:sz w:val="22"/>
        </w:rPr>
        <w:t>Oliver Grant (Case Study Writer) produces patient transformation stories first — these feed into Audrey's services pages</w:t>
      </w:r>
    </w:p>
    <w:p>
      <w:pPr>
        <w:pStyle w:val="ListBullet"/>
        <w:spacing w:before="40" w:after="40" w:line="312" w:lineRule="auto"/>
      </w:pPr>
      <w:r>
        <w:rPr>
          <w:rFonts w:ascii="Georgia" w:hAnsi="Georgia"/>
          <w:color w:val="333333"/>
          <w:sz w:val="22"/>
        </w:rPr>
        <w:t>Cade Morrison (Headlines) produces all headline variants before Audrey writes body copy</w:t>
      </w:r>
    </w:p>
    <w:p>
      <w:pPr>
        <w:pStyle w:val="ListBullet"/>
        <w:spacing w:before="40" w:after="40" w:line="312" w:lineRule="auto"/>
      </w:pPr>
      <w:r>
        <w:rPr>
          <w:rFonts w:ascii="Georgia" w:hAnsi="Georgia"/>
          <w:color w:val="333333"/>
          <w:sz w:val="22"/>
        </w:rPr>
        <w:t>Ingrid Holt (Landing Pages) produces the free consultation landing page</w:t>
      </w:r>
    </w:p>
    <w:p>
      <w:pPr>
        <w:pStyle w:val="ListBullet"/>
        <w:spacing w:before="40" w:after="40" w:line="312" w:lineRule="auto"/>
      </w:pPr>
      <w:r>
        <w:rPr>
          <w:rFonts w:ascii="Georgia" w:hAnsi="Georgia"/>
          <w:color w:val="333333"/>
          <w:sz w:val="22"/>
        </w:rPr>
        <w:t>Iris Nolan (CTO) architects the technical structure, URL strategy, and how the two domains interact for SEO</w:t>
      </w:r>
    </w:p>
    <w:p>
      <w:pPr>
        <w:spacing w:before="0" w:after="60"/>
      </w:pPr>
    </w:p>
    <w:p>
      <w:pPr>
        <w:spacing w:before="0" w:after="60" w:line="288" w:lineRule="auto"/>
      </w:pPr>
      <w:r>
        <w:rPr>
          <w:rFonts w:ascii="Calibri" w:hAnsi="Calibri"/>
          <w:b/>
          <w:color w:val="58585A"/>
          <w:sz w:val="20"/>
        </w:rPr>
        <w:t>Technical requirements:</w:t>
      </w:r>
      <w:r>
        <w:rPr>
          <w:rFonts w:ascii="Calibri" w:hAnsi="Calibri"/>
          <w:color w:val="58585A"/>
          <w:sz w:val="20"/>
        </w:rPr>
        <w:t xml:space="preserve"> Mobile-first, under 3-second load time, schema markup on all location/service pages, click-to-call on every page, conversion tracking installed before any paid media runs.</w:t>
      </w:r>
    </w:p>
    <w:p>
      <w:pPr>
        <w:spacing w:before="0" w:after="60"/>
      </w:pPr>
    </w:p>
    <w:p>
      <w:pPr>
        <w:spacing w:before="80" w:after="80"/>
        <w:pBdr>
          <w:bottom w:val="single" w:sz="6" w:space="1" w:color="25aae1"/>
        </w:pBdr>
      </w:pPr>
    </w:p>
    <w:p>
      <w:pPr>
        <w:spacing w:before="0" w:after="60"/>
      </w:pPr>
    </w:p>
    <w:p>
      <w:pPr>
        <w:spacing w:before="320" w:after="120"/>
        <w:pBdr>
          <w:bottom w:val="single" w:sz="4" w:space="1" w:color="CCCCCC"/>
        </w:pBdr>
      </w:pPr>
      <w:r>
        <w:rPr>
          <w:rFonts w:ascii="Calibri" w:hAnsi="Calibri"/>
          <w:b/>
          <w:color w:val="58585A"/>
          <w:sz w:val="26"/>
        </w:rPr>
        <w:t>LTI-2: YouTube Authority Channel — "Louisville's Implant Dentist"</w:t>
      </w:r>
    </w:p>
    <w:p>
      <w:pPr>
        <w:spacing w:before="0" w:after="120" w:line="336" w:lineRule="auto"/>
      </w:pPr>
      <w:r>
        <w:rPr>
          <w:rFonts w:ascii="Georgia" w:hAnsi="Georgia"/>
          <w:color w:val="333333"/>
          <w:sz w:val="22"/>
        </w:rPr>
        <w:t>This is the highest-leverage long-term growth initiative in the entire audit.</w:t>
      </w:r>
    </w:p>
    <w:p>
      <w:pPr>
        <w:spacing w:before="0" w:after="60"/>
      </w:pPr>
    </w:p>
    <w:p>
      <w:pPr>
        <w:spacing w:before="0" w:after="120" w:line="336" w:lineRule="auto"/>
      </w:pPr>
      <w:r>
        <w:rPr>
          <w:rFonts w:ascii="Georgia" w:hAnsi="Georgia"/>
          <w:color w:val="333333"/>
          <w:sz w:val="22"/>
        </w:rPr>
        <w:t>The implant patient research window is 3–12 months. During that time, they watch videos, read articles, and develop a sense of who they trust before they ever pick up a phone. The Louisville implant market currently has no general dentist with a meaningful YouTube presence. ClearChoice runs TV ads but has no educational YouTube content. The oral surgery specialists have no patient-facing educational channel. The search for "dental implants Louisville KY" on YouTube returns national content from dentists in other cities.</w:t>
      </w:r>
    </w:p>
    <w:p>
      <w:pPr>
        <w:spacing w:before="0" w:after="60"/>
      </w:pPr>
    </w:p>
    <w:p>
      <w:pPr>
        <w:spacing w:before="0" w:after="120" w:line="336" w:lineRule="auto"/>
      </w:pPr>
      <w:r>
        <w:rPr>
          <w:rFonts w:ascii="Georgia" w:hAnsi="Georgia"/>
          <w:color w:val="333333"/>
          <w:sz w:val="22"/>
        </w:rPr>
        <w:t>This is uncontested territory.</w:t>
      </w:r>
    </w:p>
    <w:p>
      <w:pPr>
        <w:spacing w:before="0" w:after="60"/>
      </w:pPr>
    </w:p>
    <w:p>
      <w:pPr>
        <w:spacing w:before="0" w:after="60" w:line="288" w:lineRule="auto"/>
      </w:pPr>
      <w:r>
        <w:rPr>
          <w:rFonts w:ascii="Calibri" w:hAnsi="Calibri"/>
          <w:b/>
          <w:color w:val="58585A"/>
          <w:sz w:val="20"/>
        </w:rPr>
        <w:t>Dr. Hedges' YouTube channel positioning:</w:t>
      </w:r>
      <w:r>
        <w:rPr>
          <w:rFonts w:ascii="Calibri" w:hAnsi="Calibri"/>
          <w:color w:val="58585A"/>
          <w:sz w:val="20"/>
        </w:rPr>
        <w:t xml:space="preserve"> </w:t>
      </w:r>
      <w:r>
        <w:rPr>
          <w:rFonts w:ascii="Calibri" w:hAnsi="Calibri"/>
          <w:i/>
          <w:color w:val="58585A"/>
          <w:sz w:val="20"/>
        </w:rPr>
        <w:t>"Louisville's Implant Dentist — Real answers about dental implants from a Louisville dentist who does them every day."</w:t>
      </w:r>
    </w:p>
    <w:p>
      <w:pPr>
        <w:spacing w:before="0" w:after="60"/>
      </w:pPr>
    </w:p>
    <w:p>
      <w:pPr>
        <w:spacing w:before="0" w:after="60" w:line="288" w:lineRule="auto"/>
      </w:pPr>
      <w:r>
        <w:rPr>
          <w:rFonts w:ascii="Calibri" w:hAnsi="Calibri"/>
          <w:b/>
          <w:color w:val="58585A"/>
          <w:sz w:val="20"/>
        </w:rPr>
        <w:t>Content strategy (first 90 days — 12 videos):</w:t>
      </w:r>
    </w:p>
    <w:p>
      <w:pPr>
        <w:pStyle w:val="ListBullet"/>
        <w:spacing w:before="40" w:after="40" w:line="312" w:lineRule="auto"/>
      </w:pPr>
      <w:r>
        <w:rPr>
          <w:rFonts w:ascii="Georgia" w:hAnsi="Georgia"/>
          <w:color w:val="333333"/>
          <w:sz w:val="22"/>
        </w:rPr>
        <w:t>"How much do dental implants cost in Louisville? (An honest answer)"</w:t>
      </w:r>
    </w:p>
    <w:p>
      <w:pPr>
        <w:pStyle w:val="ListBullet"/>
        <w:spacing w:before="40" w:after="40" w:line="312" w:lineRule="auto"/>
      </w:pPr>
      <w:r>
        <w:rPr>
          <w:rFonts w:ascii="Georgia" w:hAnsi="Georgia"/>
          <w:color w:val="333333"/>
          <w:sz w:val="22"/>
        </w:rPr>
        <w:t>"All-on-4 vs. implant-supported dentures — which is right for you?"</w:t>
      </w:r>
    </w:p>
    <w:p>
      <w:pPr>
        <w:pStyle w:val="ListBullet"/>
        <w:spacing w:before="40" w:after="40" w:line="312" w:lineRule="auto"/>
      </w:pPr>
      <w:r>
        <w:rPr>
          <w:rFonts w:ascii="Georgia" w:hAnsi="Georgia"/>
          <w:color w:val="333333"/>
          <w:sz w:val="22"/>
        </w:rPr>
        <w:t>"Am I a good candidate for dental implants? How to know"</w:t>
      </w:r>
    </w:p>
    <w:p>
      <w:pPr>
        <w:pStyle w:val="ListBullet"/>
        <w:spacing w:before="40" w:after="40" w:line="312" w:lineRule="auto"/>
      </w:pPr>
      <w:r>
        <w:rPr>
          <w:rFonts w:ascii="Georgia" w:hAnsi="Georgia"/>
          <w:color w:val="333333"/>
          <w:sz w:val="22"/>
        </w:rPr>
        <w:t>"Dental implants vs. ClearChoice — what you should know before you decide"</w:t>
      </w:r>
    </w:p>
    <w:p>
      <w:pPr>
        <w:pStyle w:val="ListBullet"/>
        <w:spacing w:before="40" w:after="40" w:line="312" w:lineRule="auto"/>
      </w:pPr>
      <w:r>
        <w:rPr>
          <w:rFonts w:ascii="Georgia" w:hAnsi="Georgia"/>
          <w:color w:val="333333"/>
          <w:sz w:val="22"/>
        </w:rPr>
        <w:t>"What to expect at your first implant consultation with Dr. Hedges"</w:t>
      </w:r>
    </w:p>
    <w:p>
      <w:pPr>
        <w:pStyle w:val="ListBullet"/>
        <w:spacing w:before="40" w:after="40" w:line="312" w:lineRule="auto"/>
      </w:pPr>
      <w:r>
        <w:rPr>
          <w:rFonts w:ascii="Georgia" w:hAnsi="Georgia"/>
          <w:color w:val="333333"/>
          <w:sz w:val="22"/>
        </w:rPr>
        <w:t>"How painful are dental implants, really?"</w:t>
      </w:r>
    </w:p>
    <w:p>
      <w:pPr>
        <w:pStyle w:val="ListBullet"/>
        <w:spacing w:before="40" w:after="40" w:line="312" w:lineRule="auto"/>
      </w:pPr>
      <w:r>
        <w:rPr>
          <w:rFonts w:ascii="Georgia" w:hAnsi="Georgia"/>
          <w:color w:val="333333"/>
          <w:sz w:val="22"/>
        </w:rPr>
        <w:t>"Can I get implants if I have bone loss?"</w:t>
      </w:r>
    </w:p>
    <w:p>
      <w:pPr>
        <w:pStyle w:val="ListBullet"/>
        <w:spacing w:before="40" w:after="40" w:line="312" w:lineRule="auto"/>
      </w:pPr>
      <w:r>
        <w:rPr>
          <w:rFonts w:ascii="Georgia" w:hAnsi="Georgia"/>
          <w:color w:val="333333"/>
          <w:sz w:val="22"/>
        </w:rPr>
        <w:t>"Why I chose to do implants as a general dentist instead of referring out"</w:t>
      </w:r>
    </w:p>
    <w:p>
      <w:pPr>
        <w:pStyle w:val="ListBullet"/>
        <w:spacing w:before="40" w:after="40" w:line="312" w:lineRule="auto"/>
      </w:pPr>
      <w:r>
        <w:rPr>
          <w:rFonts w:ascii="Georgia" w:hAnsi="Georgia"/>
          <w:color w:val="333333"/>
          <w:sz w:val="22"/>
        </w:rPr>
        <w:t>"The real reason people keep putting off dental implants (and what it costs them)"</w:t>
      </w:r>
    </w:p>
    <w:p>
      <w:pPr>
        <w:pStyle w:val="ListBullet"/>
        <w:spacing w:before="40" w:after="40" w:line="312" w:lineRule="auto"/>
      </w:pPr>
      <w:r>
        <w:rPr>
          <w:rFonts w:ascii="Georgia" w:hAnsi="Georgia"/>
          <w:color w:val="333333"/>
          <w:sz w:val="22"/>
        </w:rPr>
        <w:t>"Patient story: Sarah's full-arch transformation — Louisville, KY"</w:t>
      </w:r>
    </w:p>
    <w:p>
      <w:pPr>
        <w:pStyle w:val="ListBullet"/>
        <w:spacing w:before="40" w:after="40" w:line="312" w:lineRule="auto"/>
      </w:pPr>
      <w:r>
        <w:rPr>
          <w:rFonts w:ascii="Georgia" w:hAnsi="Georgia"/>
          <w:color w:val="333333"/>
          <w:sz w:val="22"/>
        </w:rPr>
        <w:t>"Dental implants with Delta Dental insurance — what's actually covered?"</w:t>
      </w:r>
    </w:p>
    <w:p>
      <w:pPr>
        <w:pStyle w:val="ListBullet"/>
        <w:spacing w:before="40" w:after="40" w:line="312" w:lineRule="auto"/>
      </w:pPr>
      <w:r>
        <w:rPr>
          <w:rFonts w:ascii="Georgia" w:hAnsi="Georgia"/>
          <w:color w:val="333333"/>
          <w:sz w:val="22"/>
        </w:rPr>
        <w:t>"Dr. Hedges answers your top 10 implant questions"</w:t>
      </w:r>
    </w:p>
    <w:p>
      <w:pPr>
        <w:spacing w:before="0" w:after="60"/>
      </w:pPr>
    </w:p>
    <w:p>
      <w:pPr>
        <w:spacing w:before="0" w:after="60" w:line="288" w:lineRule="auto"/>
      </w:pPr>
      <w:r>
        <w:rPr>
          <w:rFonts w:ascii="Calibri" w:hAnsi="Calibri"/>
          <w:b/>
          <w:color w:val="58585A"/>
          <w:sz w:val="20"/>
        </w:rPr>
        <w:t>Dr. Hedges' story is the differentiator:</w:t>
      </w:r>
      <w:r>
        <w:rPr>
          <w:rFonts w:ascii="Calibri" w:hAnsi="Calibri"/>
          <w:color w:val="58585A"/>
          <w:sz w:val="20"/>
        </w:rPr>
        <w:t xml:space="preserve"> Former teacher. UofL quarterback. Louisville-born. Family practice. This is a human story that ClearChoice cannot replicate and oral surgeons do not think to tell. The YouTube channel is where that story lives.</w:t>
      </w:r>
    </w:p>
    <w:p>
      <w:pPr>
        <w:spacing w:before="0" w:after="60"/>
      </w:pPr>
    </w:p>
    <w:p>
      <w:pPr>
        <w:spacing w:before="0" w:after="60" w:line="288" w:lineRule="auto"/>
      </w:pPr>
      <w:r>
        <w:rPr>
          <w:rFonts w:ascii="Calibri" w:hAnsi="Calibri"/>
          <w:b/>
          <w:color w:val="58585A"/>
          <w:sz w:val="20"/>
        </w:rPr>
        <w:t>Production requirement:</w:t>
      </w:r>
      <w:r>
        <w:rPr>
          <w:rFonts w:ascii="Calibri" w:hAnsi="Calibri"/>
          <w:color w:val="58585A"/>
          <w:sz w:val="20"/>
        </w:rPr>
        <w:t xml:space="preserve"> A phone camera, decent lighting, and 45 minutes per video. Christy Hedges can manage production logistics.</w:t>
      </w:r>
    </w:p>
    <w:p>
      <w:pPr>
        <w:spacing w:before="0" w:after="60"/>
      </w:pPr>
    </w:p>
    <w:p>
      <w:pPr>
        <w:spacing w:before="80" w:after="80"/>
        <w:pBdr>
          <w:bottom w:val="single" w:sz="6" w:space="1" w:color="25aae1"/>
        </w:pBdr>
      </w:pPr>
    </w:p>
    <w:p>
      <w:pPr>
        <w:spacing w:before="0" w:after="60"/>
      </w:pPr>
    </w:p>
    <w:p>
      <w:pPr>
        <w:spacing w:before="320" w:after="120"/>
        <w:pBdr>
          <w:bottom w:val="single" w:sz="4" w:space="1" w:color="CCCCCC"/>
        </w:pBdr>
      </w:pPr>
      <w:r>
        <w:rPr>
          <w:rFonts w:ascii="Calibri" w:hAnsi="Calibri"/>
          <w:b/>
          <w:color w:val="58585A"/>
          <w:sz w:val="26"/>
        </w:rPr>
        <w:t>LTI-3: Email Nurture System for Implant-Curious Patients</w:t>
      </w:r>
    </w:p>
    <w:p>
      <w:pPr>
        <w:spacing w:before="0" w:after="120" w:line="336" w:lineRule="auto"/>
      </w:pPr>
      <w:r>
        <w:rPr>
          <w:rFonts w:ascii="Georgia" w:hAnsi="Georgia"/>
          <w:color w:val="333333"/>
          <w:sz w:val="22"/>
        </w:rPr>
        <w:t>The website captures nothing. A patient who visits toplouisvilledentist.com, reads the All-on-4 page, and is not yet ready to book — leaves forever. There is no mechanism to stay in contact with them during their research window.</w:t>
      </w:r>
    </w:p>
    <w:p>
      <w:pPr>
        <w:spacing w:before="0" w:after="60"/>
      </w:pPr>
    </w:p>
    <w:p>
      <w:pPr>
        <w:spacing w:before="0" w:after="60" w:line="288" w:lineRule="auto"/>
      </w:pPr>
      <w:r>
        <w:rPr>
          <w:rFonts w:ascii="Calibri" w:hAnsi="Calibri"/>
          <w:b/>
          <w:color w:val="58585A"/>
          <w:sz w:val="20"/>
        </w:rPr>
        <w:t>Build a 6-email nurture sequence for the lead magnet opt-in:</w:t>
      </w:r>
    </w:p>
    <w:p>
      <w:pPr>
        <w:spacing w:before="0" w:after="60"/>
      </w:pPr>
    </w:p>
    <w:p>
      <w:pPr>
        <w:pStyle w:val="ListBullet"/>
        <w:spacing w:before="40" w:after="40" w:line="312" w:lineRule="auto"/>
      </w:pPr>
      <w:r>
        <w:rPr>
          <w:rFonts w:ascii="Calibri" w:hAnsi="Calibri"/>
          <w:b/>
          <w:color w:val="333333"/>
          <w:sz w:val="22"/>
        </w:rPr>
        <w:t>Email 1 (Day 0):</w:t>
      </w:r>
      <w:r>
        <w:rPr>
          <w:rFonts w:ascii="Georgia" w:hAnsi="Georgia"/>
          <w:color w:val="333333"/>
          <w:sz w:val="22"/>
        </w:rPr>
        <w:t xml:space="preserve"> Deliver the guide. "Here's The Louisville Implant Guide you requested — plus a personal note from Dr. Hedges."</w:t>
      </w:r>
    </w:p>
    <w:p>
      <w:pPr>
        <w:pStyle w:val="ListBullet"/>
        <w:spacing w:before="40" w:after="40" w:line="312" w:lineRule="auto"/>
      </w:pPr>
      <w:r>
        <w:rPr>
          <w:rFonts w:ascii="Calibri" w:hAnsi="Calibri"/>
          <w:b/>
          <w:color w:val="333333"/>
          <w:sz w:val="22"/>
        </w:rPr>
        <w:t>Email 2 (Day 4):</w:t>
      </w:r>
      <w:r>
        <w:rPr>
          <w:rFonts w:ascii="Georgia" w:hAnsi="Georgia"/>
          <w:color w:val="333333"/>
          <w:sz w:val="22"/>
        </w:rPr>
        <w:t xml:space="preserve"> "The real cost of a missing tooth (it's not what you think)" — bone loss, facial structure, adjacent tooth drift. Educational. Zero sales pressure.</w:t>
      </w:r>
    </w:p>
    <w:p>
      <w:pPr>
        <w:pStyle w:val="ListBullet"/>
        <w:spacing w:before="40" w:after="40" w:line="312" w:lineRule="auto"/>
      </w:pPr>
      <w:r>
        <w:rPr>
          <w:rFonts w:ascii="Calibri" w:hAnsi="Calibri"/>
          <w:b/>
          <w:color w:val="333333"/>
          <w:sz w:val="22"/>
        </w:rPr>
        <w:t>Email 3 (Day 9):</w:t>
      </w:r>
      <w:r>
        <w:rPr>
          <w:rFonts w:ascii="Georgia" w:hAnsi="Georgia"/>
          <w:color w:val="333333"/>
          <w:sz w:val="22"/>
        </w:rPr>
        <w:t xml:space="preserve"> "Your questions about dental implants — answered honestly." FAQ format.</w:t>
      </w:r>
    </w:p>
    <w:p>
      <w:pPr>
        <w:pStyle w:val="ListBullet"/>
        <w:spacing w:before="40" w:after="40" w:line="312" w:lineRule="auto"/>
      </w:pPr>
      <w:r>
        <w:rPr>
          <w:rFonts w:ascii="Calibri" w:hAnsi="Calibri"/>
          <w:b/>
          <w:color w:val="333333"/>
          <w:sz w:val="22"/>
        </w:rPr>
        <w:t>Email 4 (Day 16):</w:t>
      </w:r>
      <w:r>
        <w:rPr>
          <w:rFonts w:ascii="Georgia" w:hAnsi="Georgia"/>
          <w:color w:val="333333"/>
          <w:sz w:val="22"/>
        </w:rPr>
        <w:t xml:space="preserve"> Patient story. "A patient who kept putting it off — and what finally changed her mind." Social proof + emotional arc.</w:t>
      </w:r>
    </w:p>
    <w:p>
      <w:pPr>
        <w:pStyle w:val="ListBullet"/>
        <w:spacing w:before="40" w:after="40" w:line="312" w:lineRule="auto"/>
      </w:pPr>
      <w:r>
        <w:rPr>
          <w:rFonts w:ascii="Calibri" w:hAnsi="Calibri"/>
          <w:b/>
          <w:color w:val="333333"/>
          <w:sz w:val="22"/>
        </w:rPr>
        <w:t>Email 5 (Day 24):</w:t>
      </w:r>
      <w:r>
        <w:rPr>
          <w:rFonts w:ascii="Georgia" w:hAnsi="Georgia"/>
          <w:color w:val="333333"/>
          <w:sz w:val="22"/>
        </w:rPr>
        <w:t xml:space="preserve"> "Is an implant covered by your insurance?" Practical value. Mentions CareCredit.</w:t>
      </w:r>
    </w:p>
    <w:p>
      <w:pPr>
        <w:pStyle w:val="ListBullet"/>
        <w:spacing w:before="40" w:after="40" w:line="312" w:lineRule="auto"/>
      </w:pPr>
      <w:r>
        <w:rPr>
          <w:rFonts w:ascii="Calibri" w:hAnsi="Calibri"/>
          <w:b/>
          <w:color w:val="333333"/>
          <w:sz w:val="22"/>
        </w:rPr>
        <w:t>Email 6 (Day 35):</w:t>
      </w:r>
      <w:r>
        <w:rPr>
          <w:rFonts w:ascii="Georgia" w:hAnsi="Georgia"/>
          <w:color w:val="333333"/>
          <w:sz w:val="22"/>
        </w:rPr>
        <w:t xml:space="preserve"> Soft CTA. "When you're ready, your consultation with Dr. Hedges is complimentary. Here's what that looks like."</w:t>
      </w:r>
    </w:p>
    <w:p>
      <w:pPr>
        <w:spacing w:before="0" w:after="60"/>
      </w:pPr>
    </w:p>
    <w:p>
      <w:pPr>
        <w:spacing w:before="0" w:after="60" w:line="288" w:lineRule="auto"/>
      </w:pPr>
      <w:r>
        <w:rPr>
          <w:rFonts w:ascii="Calibri" w:hAnsi="Calibri"/>
          <w:b/>
          <w:color w:val="58585A"/>
          <w:sz w:val="20"/>
        </w:rPr>
        <w:t>Technology:</w:t>
      </w:r>
      <w:r>
        <w:rPr>
          <w:rFonts w:ascii="Calibri" w:hAnsi="Calibri"/>
          <w:color w:val="58585A"/>
          <w:sz w:val="20"/>
        </w:rPr>
        <w:t xml:space="preserve"> Any basic email platform works — Mailchimp, ActiveCampaign, HubSpot. Marcus Chen (CRM Automation Builder) configures the automation once Rhett Callahan (Email Sequence Writer) writes the copy.</w:t>
      </w:r>
    </w:p>
    <w:p>
      <w:pPr>
        <w:spacing w:before="0" w:after="60"/>
      </w:pPr>
    </w:p>
    <w:p>
      <w:pPr>
        <w:spacing w:before="80" w:after="80"/>
        <w:pBdr>
          <w:bottom w:val="single" w:sz="6" w:space="1" w:color="25aae1"/>
        </w:pBdr>
      </w:pPr>
    </w:p>
    <w:p>
      <w:pPr>
        <w:spacing w:before="0" w:after="60"/>
      </w:pPr>
    </w:p>
    <w:p>
      <w:r>
        <w:br w:type="page"/>
      </w:r>
    </w:p>
    <w:p>
      <w:pPr>
        <w:spacing w:before="0" w:after="160"/>
        <w:pBdr>
          <w:bottom w:val="single" w:sz="8" w:space="1" w:color="25aae1"/>
        </w:pBdr>
      </w:pPr>
      <w:r>
        <w:rPr>
          <w:rFonts w:ascii="Calibri" w:hAnsi="Calibri"/>
          <w:b/>
          <w:color w:val="25AAE1"/>
          <w:sz w:val="40"/>
        </w:rPr>
        <w:t>Detailed Analysis by Category</w:t>
      </w:r>
    </w:p>
    <w:p>
      <w:pPr>
        <w:spacing w:before="0" w:after="60"/>
      </w:pPr>
    </w:p>
    <w:p>
      <w:pPr>
        <w:spacing w:before="80" w:after="80"/>
        <w:pBdr>
          <w:bottom w:val="single" w:sz="6" w:space="1" w:color="25aae1"/>
        </w:pBdr>
      </w:pPr>
    </w:p>
    <w:p>
      <w:pPr>
        <w:spacing w:before="0" w:after="60"/>
      </w:pPr>
    </w:p>
    <w:p>
      <w:pPr>
        <w:spacing w:before="320" w:after="120"/>
        <w:pBdr>
          <w:bottom w:val="single" w:sz="4" w:space="1" w:color="CCCCCC"/>
        </w:pBdr>
      </w:pPr>
      <w:r>
        <w:rPr>
          <w:rFonts w:ascii="Calibri" w:hAnsi="Calibri"/>
          <w:b/>
          <w:color w:val="58585A"/>
          <w:sz w:val="26"/>
        </w:rPr>
        <w:t>Content &amp; Messaging Analysis</w:t>
      </w:r>
    </w:p>
    <w:p>
      <w:pPr>
        <w:spacing w:before="240" w:after="80"/>
      </w:pPr>
      <w:r>
        <w:rPr>
          <w:rFonts w:ascii="Calibri" w:hAnsi="Calibri"/>
          <w:b/>
          <w:color w:val="58585A"/>
          <w:sz w:val="24"/>
        </w:rPr>
        <w:t>Score: 21/100</w:t>
      </w:r>
    </w:p>
    <w:p>
      <w:pPr>
        <w:spacing w:before="80" w:after="40"/>
        <w:ind w:left="360"/>
      </w:pPr>
      <w:r>
        <w:rPr>
          <w:rFonts w:ascii="Calibri" w:hAnsi="Calibri"/>
          <w:i/>
          <w:color w:val="58585A"/>
          <w:sz w:val="20"/>
        </w:rPr>
        <w:t>Analysis: Lena Park, Content &amp; Messaging Specialist</w:t>
      </w:r>
    </w:p>
    <w:p>
      <w:pPr>
        <w:spacing w:before="0" w:after="60"/>
      </w:pPr>
    </w:p>
    <w:p>
      <w:pPr>
        <w:spacing w:before="0" w:after="60" w:line="288" w:lineRule="auto"/>
      </w:pPr>
      <w:r>
        <w:rPr>
          <w:rFonts w:ascii="Calibri" w:hAnsi="Calibri"/>
          <w:b/>
          <w:color w:val="58585A"/>
          <w:sz w:val="20"/>
        </w:rPr>
        <w:t>What the site currently says:</w:t>
      </w:r>
    </w:p>
    <w:p>
      <w:pPr>
        <w:spacing w:before="0" w:after="120" w:line="336" w:lineRule="auto"/>
      </w:pPr>
      <w:r>
        <w:rPr>
          <w:rFonts w:ascii="Georgia" w:hAnsi="Georgia"/>
          <w:color w:val="333333"/>
          <w:sz w:val="22"/>
        </w:rPr>
        <w:t>The dominant messaging on hedgesdental.com is built around four themes: friendliness, local ownership, affordability, and general accessibility. "Professional care with a personal touch." "Friendly and local-owned dentistry." "Honest, high-quality dental care." "Same-day treatment while prioritizing patient comfort and budget."</w:t>
      </w:r>
    </w:p>
    <w:p>
      <w:pPr>
        <w:spacing w:before="0" w:after="60"/>
      </w:pPr>
    </w:p>
    <w:p>
      <w:pPr>
        <w:spacing w:before="0" w:after="120" w:line="336" w:lineRule="auto"/>
      </w:pPr>
      <w:r>
        <w:rPr>
          <w:rFonts w:ascii="Georgia" w:hAnsi="Georgia"/>
          <w:color w:val="333333"/>
          <w:sz w:val="22"/>
        </w:rPr>
        <w:t>These messages are not wrong. They are simply aimed at the wrong patient. A patient considering dental implants is not searching for "friendly, affordable dentistry." They are searching for "who can I trust with this?" Trust in the implant context is built through demonstrated expertise, patient transformation stories, and visible clinical confidence — not warmth signals.</w:t>
      </w:r>
    </w:p>
    <w:p>
      <w:pPr>
        <w:spacing w:before="0" w:after="60"/>
      </w:pPr>
    </w:p>
    <w:p>
      <w:pPr>
        <w:spacing w:before="0" w:after="60" w:line="288" w:lineRule="auto"/>
      </w:pPr>
      <w:r>
        <w:rPr>
          <w:rFonts w:ascii="Calibri" w:hAnsi="Calibri"/>
          <w:b/>
          <w:color w:val="58585A"/>
          <w:sz w:val="20"/>
        </w:rPr>
        <w:t>The implant content problem:</w:t>
      </w:r>
    </w:p>
    <w:p>
      <w:pPr>
        <w:spacing w:before="0" w:after="120" w:line="336" w:lineRule="auto"/>
      </w:pPr>
      <w:r>
        <w:rPr>
          <w:rFonts w:ascii="Georgia" w:hAnsi="Georgia"/>
          <w:color w:val="333333"/>
          <w:sz w:val="22"/>
        </w:rPr>
        <w:t>The implants page on hedgesdental.com contains three short paragraphs totaling approximately 120 words. The most specific clinical language used is: "a small cap will be screwed into the implant." The page does not mention: candidacy criteria, bone graft requirements, timeline variability, financing, before/after outcomes, the difference between single implants and full-arch restoration, or what makes Dr. Hedges' approach different from any other provider. It is a Wikipedia summary, not an authority page.</w:t>
      </w:r>
    </w:p>
    <w:p>
      <w:pPr>
        <w:spacing w:before="0" w:after="60"/>
      </w:pPr>
    </w:p>
    <w:p>
      <w:pPr>
        <w:spacing w:before="0" w:after="120" w:line="336" w:lineRule="auto"/>
      </w:pPr>
      <w:r>
        <w:rPr>
          <w:rFonts w:ascii="Georgia" w:hAnsi="Georgia"/>
          <w:color w:val="333333"/>
          <w:sz w:val="22"/>
        </w:rPr>
        <w:t>The All-on-4 page on toplouisvilledentist.com shows more content awareness — mentioning "four or more dental implants," "cost-effective," and "restore your smile in just one day" — but still lacks the depth and conviction that moves an implant patient from research to contact.</w:t>
      </w:r>
    </w:p>
    <w:p>
      <w:pPr>
        <w:spacing w:before="0" w:after="60"/>
      </w:pPr>
    </w:p>
    <w:p>
      <w:pPr>
        <w:spacing w:before="0" w:after="60" w:line="288" w:lineRule="auto"/>
      </w:pPr>
      <w:r>
        <w:rPr>
          <w:rFonts w:ascii="Calibri" w:hAnsi="Calibri"/>
          <w:b/>
          <w:color w:val="58585A"/>
          <w:sz w:val="20"/>
        </w:rPr>
        <w:t>Critical language conflicts:</w:t>
      </w:r>
    </w:p>
    <w:p>
      <w:pPr>
        <w:spacing w:before="0" w:after="120" w:line="336" w:lineRule="auto"/>
      </w:pPr>
      <w:r>
        <w:rPr>
          <w:rFonts w:ascii="Georgia" w:hAnsi="Georgia"/>
          <w:color w:val="333333"/>
          <w:sz w:val="22"/>
        </w:rPr>
        <w:t>The phrase "without breaking the bank" appears in connection with smile restoration. This framing does double damage: it signals affordability (undermining premium positioning) and it frames the treatment as a financial burden rather than a life-changing investment. Implant patients who convert do so because the outcome justifies the investment. Language that foregrounds cost anxiety works against that conversion.</w:t>
      </w:r>
    </w:p>
    <w:p>
      <w:pPr>
        <w:spacing w:before="0" w:after="60"/>
      </w:pPr>
    </w:p>
    <w:p>
      <w:pPr>
        <w:spacing w:before="0" w:after="60" w:line="288" w:lineRule="auto"/>
      </w:pPr>
      <w:r>
        <w:rPr>
          <w:rFonts w:ascii="Calibri" w:hAnsi="Calibri"/>
          <w:b/>
          <w:color w:val="58585A"/>
          <w:sz w:val="20"/>
        </w:rPr>
        <w:t>What is missing entirely:</w:t>
      </w:r>
    </w:p>
    <w:p>
      <w:pPr>
        <w:pStyle w:val="ListBullet"/>
        <w:spacing w:before="40" w:after="40" w:line="312" w:lineRule="auto"/>
      </w:pPr>
      <w:r>
        <w:rPr>
          <w:rFonts w:ascii="Georgia" w:hAnsi="Georgia"/>
          <w:color w:val="333333"/>
          <w:sz w:val="22"/>
        </w:rPr>
        <w:t>Any mention of Dr. Hedges' implant training or continuing education in implants</w:t>
      </w:r>
    </w:p>
    <w:p>
      <w:pPr>
        <w:pStyle w:val="ListBullet"/>
        <w:spacing w:before="40" w:after="40" w:line="312" w:lineRule="auto"/>
      </w:pPr>
      <w:r>
        <w:rPr>
          <w:rFonts w:ascii="Georgia" w:hAnsi="Georgia"/>
          <w:color w:val="333333"/>
          <w:sz w:val="22"/>
        </w:rPr>
        <w:t>Any before/after patient outcomes</w:t>
      </w:r>
    </w:p>
    <w:p>
      <w:pPr>
        <w:pStyle w:val="ListBullet"/>
        <w:spacing w:before="40" w:after="40" w:line="312" w:lineRule="auto"/>
      </w:pPr>
      <w:r>
        <w:rPr>
          <w:rFonts w:ascii="Georgia" w:hAnsi="Georgia"/>
          <w:color w:val="333333"/>
          <w:sz w:val="22"/>
        </w:rPr>
        <w:t>Any patient narrative or testimonial</w:t>
      </w:r>
    </w:p>
    <w:p>
      <w:pPr>
        <w:pStyle w:val="ListBullet"/>
        <w:spacing w:before="40" w:after="40" w:line="312" w:lineRule="auto"/>
      </w:pPr>
      <w:r>
        <w:rPr>
          <w:rFonts w:ascii="Georgia" w:hAnsi="Georgia"/>
          <w:color w:val="333333"/>
          <w:sz w:val="22"/>
        </w:rPr>
        <w:t>Any content addressing the 3–12 month research journey (email capture, lead magnet, educational series)</w:t>
      </w:r>
    </w:p>
    <w:p>
      <w:pPr>
        <w:pStyle w:val="ListBullet"/>
        <w:spacing w:before="40" w:after="40" w:line="312" w:lineRule="auto"/>
      </w:pPr>
      <w:r>
        <w:rPr>
          <w:rFonts w:ascii="Georgia" w:hAnsi="Georgia"/>
          <w:color w:val="333333"/>
          <w:sz w:val="22"/>
        </w:rPr>
        <w:t>Any content addressing fear (the #2 barrier to implant conversion after cost)</w:t>
      </w:r>
    </w:p>
    <w:p>
      <w:pPr>
        <w:pStyle w:val="ListBullet"/>
        <w:spacing w:before="40" w:after="40" w:line="312" w:lineRule="auto"/>
      </w:pPr>
      <w:r>
        <w:rPr>
          <w:rFonts w:ascii="Georgia" w:hAnsi="Georgia"/>
          <w:color w:val="333333"/>
          <w:sz w:val="22"/>
        </w:rPr>
        <w:t>Any positioning against the specialist/corporate alternative</w:t>
      </w:r>
    </w:p>
    <w:p>
      <w:pPr>
        <w:spacing w:before="0" w:after="60"/>
      </w:pPr>
    </w:p>
    <w:p>
      <w:pPr>
        <w:spacing w:before="0" w:after="60" w:line="288" w:lineRule="auto"/>
      </w:pPr>
      <w:r>
        <w:rPr>
          <w:rFonts w:ascii="Calibri" w:hAnsi="Calibri"/>
          <w:b/>
          <w:color w:val="58585A"/>
          <w:sz w:val="20"/>
        </w:rPr>
        <w:t>Recommendation summary:</w:t>
      </w:r>
      <w:r>
        <w:rPr>
          <w:rFonts w:ascii="Calibri" w:hAnsi="Calibri"/>
          <w:color w:val="58585A"/>
          <w:sz w:val="20"/>
        </w:rPr>
        <w:t xml:space="preserve"> Total messaging overhaul for both sites. Lead with implant authority. Use patient transformation language, not clinical description language. Address fear and cost directly. Remove affordability framing from implant context.</w:t>
      </w:r>
    </w:p>
    <w:p>
      <w:pPr>
        <w:spacing w:before="0" w:after="60"/>
      </w:pPr>
    </w:p>
    <w:p>
      <w:pPr>
        <w:spacing w:before="80" w:after="80"/>
        <w:pBdr>
          <w:bottom w:val="single" w:sz="6" w:space="1" w:color="25aae1"/>
        </w:pBdr>
      </w:pPr>
    </w:p>
    <w:p>
      <w:pPr>
        <w:spacing w:before="0" w:after="60"/>
      </w:pPr>
    </w:p>
    <w:p>
      <w:pPr>
        <w:spacing w:before="320" w:after="120"/>
        <w:pBdr>
          <w:bottom w:val="single" w:sz="4" w:space="1" w:color="CCCCCC"/>
        </w:pBdr>
      </w:pPr>
      <w:r>
        <w:rPr>
          <w:rFonts w:ascii="Calibri" w:hAnsi="Calibri"/>
          <w:b/>
          <w:color w:val="58585A"/>
          <w:sz w:val="26"/>
        </w:rPr>
        <w:t>Conversion Optimization Analysis</w:t>
      </w:r>
    </w:p>
    <w:p>
      <w:pPr>
        <w:spacing w:before="240" w:after="80"/>
      </w:pPr>
      <w:r>
        <w:rPr>
          <w:rFonts w:ascii="Calibri" w:hAnsi="Calibri"/>
          <w:b/>
          <w:color w:val="58585A"/>
          <w:sz w:val="24"/>
        </w:rPr>
        <w:t>Score: 24/100</w:t>
      </w:r>
    </w:p>
    <w:p>
      <w:pPr>
        <w:spacing w:before="80" w:after="40"/>
        <w:ind w:left="360"/>
      </w:pPr>
      <w:r>
        <w:rPr>
          <w:rFonts w:ascii="Calibri" w:hAnsi="Calibri"/>
          <w:i/>
          <w:color w:val="58585A"/>
          <w:sz w:val="20"/>
        </w:rPr>
        <w:t>Analysis: Marcus Cole, Conversion Rate Optimization Specialist</w:t>
      </w:r>
    </w:p>
    <w:p>
      <w:pPr>
        <w:spacing w:before="0" w:after="60"/>
      </w:pPr>
    </w:p>
    <w:p>
      <w:pPr>
        <w:spacing w:before="0" w:after="60" w:line="288" w:lineRule="auto"/>
      </w:pPr>
      <w:r>
        <w:rPr>
          <w:rFonts w:ascii="Calibri" w:hAnsi="Calibri"/>
          <w:b/>
          <w:color w:val="58585A"/>
          <w:sz w:val="20"/>
        </w:rPr>
        <w:t>CTA audit:</w:t>
      </w:r>
    </w:p>
    <w:p>
      <w:pPr>
        <w:spacing w:before="0" w:after="120" w:line="336" w:lineRule="auto"/>
      </w:pPr>
      <w:r>
        <w:rPr>
          <w:rFonts w:ascii="Georgia" w:hAnsi="Georgia"/>
          <w:color w:val="333333"/>
          <w:sz w:val="22"/>
        </w:rPr>
        <w:t>Both websites feature a single primary CTA: "Request an Appointment." This is the minimum viable CTA — it works for a patient who has already decided. It does nothing for the patient who is 60 days into research and not yet ready to commit to an appointment. This site converts exactly one type of visitor: the one who already decided to call. Everyone else leaves without a trace.</w:t>
      </w:r>
    </w:p>
    <w:p>
      <w:pPr>
        <w:spacing w:before="0" w:after="60"/>
      </w:pPr>
    </w:p>
    <w:p>
      <w:pPr>
        <w:spacing w:before="0" w:after="60" w:line="288" w:lineRule="auto"/>
      </w:pPr>
      <w:r>
        <w:rPr>
          <w:rFonts w:ascii="Calibri" w:hAnsi="Calibri"/>
          <w:b/>
          <w:color w:val="58585A"/>
          <w:sz w:val="20"/>
        </w:rPr>
        <w:t>Missing conversion mechanisms:</w:t>
      </w:r>
    </w:p>
    <w:p>
      <w:pPr>
        <w:pStyle w:val="ListNumber"/>
        <w:spacing w:before="40" w:after="40" w:line="312" w:lineRule="auto"/>
      </w:pPr>
      <w:r>
        <w:rPr>
          <w:rFonts w:ascii="Calibri" w:hAnsi="Calibri"/>
          <w:b/>
          <w:color w:val="333333"/>
          <w:sz w:val="22"/>
        </w:rPr>
        <w:t>No lead magnet or email capture.</w:t>
      </w:r>
      <w:r>
        <w:rPr>
          <w:rFonts w:ascii="Georgia" w:hAnsi="Georgia"/>
          <w:color w:val="333333"/>
          <w:sz w:val="22"/>
        </w:rPr>
        <w:t xml:space="preserve"> A research-phase implant patient visits the site, finds no reason to leave their contact information, and moves on. The practice has no way to stay in front of them.</w:t>
      </w:r>
    </w:p>
    <w:p>
      <w:pPr>
        <w:pStyle w:val="ListNumber"/>
        <w:spacing w:before="40" w:after="40" w:line="312" w:lineRule="auto"/>
      </w:pPr>
      <w:r>
        <w:rPr>
          <w:rFonts w:ascii="Calibri" w:hAnsi="Calibri"/>
          <w:b/>
          <w:color w:val="333333"/>
          <w:sz w:val="22"/>
        </w:rPr>
        <w:t>No financing callout.</w:t>
      </w:r>
      <w:r>
        <w:rPr>
          <w:rFonts w:ascii="Georgia" w:hAnsi="Georgia"/>
          <w:color w:val="333333"/>
          <w:sz w:val="22"/>
        </w:rPr>
        <w:t xml:space="preserve"> CareCredit is accepted. This is not visible on either site. Financing information at the point of interest is a conversion mechanism — not just a payment option. "Starting at $99/month" converts browsers into callers.</w:t>
      </w:r>
    </w:p>
    <w:p>
      <w:pPr>
        <w:pStyle w:val="ListNumber"/>
        <w:spacing w:before="40" w:after="40" w:line="312" w:lineRule="auto"/>
      </w:pPr>
      <w:r>
        <w:rPr>
          <w:rFonts w:ascii="Calibri" w:hAnsi="Calibri"/>
          <w:b/>
          <w:color w:val="333333"/>
          <w:sz w:val="22"/>
        </w:rPr>
        <w:t>No free consultation offer.</w:t>
      </w:r>
      <w:r>
        <w:rPr>
          <w:rFonts w:ascii="Georgia" w:hAnsi="Georgia"/>
          <w:color w:val="333333"/>
          <w:sz w:val="22"/>
        </w:rPr>
        <w:t xml:space="preserve"> "Request an Appointment" creates friction. "Schedule Your Free Implant Consultation" eliminates the cost barrier to the first contact.</w:t>
      </w:r>
    </w:p>
    <w:p>
      <w:pPr>
        <w:pStyle w:val="ListNumber"/>
        <w:spacing w:before="40" w:after="40" w:line="312" w:lineRule="auto"/>
      </w:pPr>
      <w:r>
        <w:rPr>
          <w:rFonts w:ascii="Calibri" w:hAnsi="Calibri"/>
          <w:b/>
          <w:color w:val="333333"/>
          <w:sz w:val="22"/>
        </w:rPr>
        <w:t>No social proof near CTAs.</w:t>
      </w:r>
      <w:r>
        <w:rPr>
          <w:rFonts w:ascii="Georgia" w:hAnsi="Georgia"/>
          <w:color w:val="333333"/>
          <w:sz w:val="22"/>
        </w:rPr>
        <w:t xml:space="preserve"> The "Request an Appointment" button appears with nothing around it that answers the question a patient is asking at the moment they're deciding whether to click: "Can I trust this person?"</w:t>
      </w:r>
    </w:p>
    <w:p>
      <w:pPr>
        <w:pStyle w:val="ListNumber"/>
        <w:spacing w:before="40" w:after="40" w:line="312" w:lineRule="auto"/>
      </w:pPr>
      <w:r>
        <w:rPr>
          <w:rFonts w:ascii="Calibri" w:hAnsi="Calibri"/>
          <w:b/>
          <w:color w:val="333333"/>
          <w:sz w:val="22"/>
        </w:rPr>
        <w:t>No urgency or scarcity mechanism.</w:t>
      </w:r>
      <w:r>
        <w:rPr>
          <w:rFonts w:ascii="Georgia" w:hAnsi="Georgia"/>
          <w:color w:val="333333"/>
          <w:sz w:val="22"/>
        </w:rPr>
        <w:t xml:space="preserve"> Even a soft urgency signal — "Dr. Hedges has limited consultation slots available each week" — increases CTA click-through.</w:t>
      </w:r>
    </w:p>
    <w:p>
      <w:pPr>
        <w:pStyle w:val="ListNumber"/>
        <w:spacing w:before="40" w:after="40" w:line="312" w:lineRule="auto"/>
      </w:pPr>
      <w:r>
        <w:rPr>
          <w:rFonts w:ascii="Calibri" w:hAnsi="Calibri"/>
          <w:b/>
          <w:color w:val="333333"/>
          <w:sz w:val="22"/>
        </w:rPr>
        <w:t>No chat or callback option.</w:t>
      </w:r>
      <w:r>
        <w:rPr>
          <w:rFonts w:ascii="Georgia" w:hAnsi="Georgia"/>
          <w:color w:val="333333"/>
          <w:sz w:val="22"/>
        </w:rPr>
        <w:t xml:space="preserve"> A portion of implant-curious patients will not fill out a form but will start a chat conversation. There is no chat on either site.</w:t>
      </w:r>
    </w:p>
    <w:p>
      <w:pPr>
        <w:spacing w:before="0" w:after="60"/>
      </w:pPr>
    </w:p>
    <w:p>
      <w:pPr>
        <w:spacing w:before="0" w:after="60" w:line="288" w:lineRule="auto"/>
      </w:pPr>
      <w:r>
        <w:rPr>
          <w:rFonts w:ascii="Calibri" w:hAnsi="Calibri"/>
          <w:b/>
          <w:color w:val="58585A"/>
          <w:sz w:val="20"/>
        </w:rPr>
        <w:t>Mobile experience:</w:t>
      </w:r>
    </w:p>
    <w:p>
      <w:pPr>
        <w:spacing w:before="0" w:after="120" w:line="336" w:lineRule="auto"/>
      </w:pPr>
      <w:r>
        <w:rPr>
          <w:rFonts w:ascii="Georgia" w:hAnsi="Georgia"/>
          <w:color w:val="333333"/>
          <w:sz w:val="22"/>
        </w:rPr>
        <w:t>Not tested directly. However, given the site's construction and hosting profile, mobile optimization should be verified as part of the rebuild. Over 65% of dental searches are conducted on mobile devices.</w:t>
      </w:r>
    </w:p>
    <w:p>
      <w:pPr>
        <w:spacing w:before="0" w:after="60"/>
      </w:pPr>
    </w:p>
    <w:p>
      <w:pPr>
        <w:spacing w:before="0" w:after="60" w:line="288" w:lineRule="auto"/>
      </w:pPr>
      <w:r>
        <w:rPr>
          <w:rFonts w:ascii="Calibri" w:hAnsi="Calibri"/>
          <w:b/>
          <w:color w:val="58585A"/>
          <w:sz w:val="20"/>
        </w:rPr>
        <w:t>Form friction:</w:t>
      </w:r>
    </w:p>
    <w:p>
      <w:pPr>
        <w:spacing w:before="0" w:after="120" w:line="336" w:lineRule="auto"/>
      </w:pPr>
      <w:r>
        <w:rPr>
          <w:rFonts w:ascii="Georgia" w:hAnsi="Georgia"/>
          <w:color w:val="333333"/>
          <w:sz w:val="22"/>
        </w:rPr>
        <w:t>The appointment request form was not examined in detail, but any form with more than 3 fields on a first-contact page for an implant prospect will see significant drop-off. The form should capture: name, phone, and "what can we help you with?" — nothing more on the first touch.</w:t>
      </w:r>
    </w:p>
    <w:p>
      <w:pPr>
        <w:spacing w:before="0" w:after="60"/>
      </w:pPr>
    </w:p>
    <w:p>
      <w:pPr>
        <w:spacing w:before="0" w:after="60" w:line="288" w:lineRule="auto"/>
      </w:pPr>
      <w:r>
        <w:rPr>
          <w:rFonts w:ascii="Calibri" w:hAnsi="Calibri"/>
          <w:b/>
          <w:color w:val="58585A"/>
          <w:sz w:val="20"/>
        </w:rPr>
        <w:t>Highest-impact conversion fix:</w:t>
      </w:r>
      <w:r>
        <w:rPr>
          <w:rFonts w:ascii="Calibri" w:hAnsi="Calibri"/>
          <w:color w:val="58585A"/>
          <w:sz w:val="20"/>
        </w:rPr>
        <w:t xml:space="preserve"> Replace "Request an Appointment" with "Schedule Your Free Implant Consultation" on toplouisvilledentist.com, and add a CareCredit financing callout within the visual field of that CTA. These two changes alone are estimated to increase consultation request volume by 20–35%.</w:t>
      </w:r>
    </w:p>
    <w:p>
      <w:pPr>
        <w:spacing w:before="0" w:after="60"/>
      </w:pPr>
    </w:p>
    <w:p>
      <w:pPr>
        <w:spacing w:before="80" w:after="80"/>
        <w:pBdr>
          <w:bottom w:val="single" w:sz="6" w:space="1" w:color="25aae1"/>
        </w:pBdr>
      </w:pPr>
    </w:p>
    <w:p>
      <w:pPr>
        <w:spacing w:before="0" w:after="60"/>
      </w:pPr>
    </w:p>
    <w:p>
      <w:pPr>
        <w:spacing w:before="320" w:after="120"/>
        <w:pBdr>
          <w:bottom w:val="single" w:sz="4" w:space="1" w:color="CCCCCC"/>
        </w:pBdr>
      </w:pPr>
      <w:r>
        <w:rPr>
          <w:rFonts w:ascii="Calibri" w:hAnsi="Calibri"/>
          <w:b/>
          <w:color w:val="58585A"/>
          <w:sz w:val="26"/>
        </w:rPr>
        <w:t>SEO &amp; Discoverability Analysis</w:t>
      </w:r>
    </w:p>
    <w:p>
      <w:pPr>
        <w:spacing w:before="240" w:after="80"/>
      </w:pPr>
      <w:r>
        <w:rPr>
          <w:rFonts w:ascii="Calibri" w:hAnsi="Calibri"/>
          <w:b/>
          <w:color w:val="58585A"/>
          <w:sz w:val="24"/>
        </w:rPr>
        <w:t>Score: 27/100</w:t>
      </w:r>
    </w:p>
    <w:p>
      <w:pPr>
        <w:spacing w:before="80" w:after="40"/>
        <w:ind w:left="360"/>
      </w:pPr>
      <w:r>
        <w:rPr>
          <w:rFonts w:ascii="Calibri" w:hAnsi="Calibri"/>
          <w:i/>
          <w:color w:val="58585A"/>
          <w:sz w:val="20"/>
        </w:rPr>
        <w:t>Analysis: Anika Suri, Technical SEO &amp; Digital Infrastructure Specialist</w:t>
      </w:r>
    </w:p>
    <w:p>
      <w:pPr>
        <w:spacing w:before="0" w:after="60"/>
      </w:pPr>
    </w:p>
    <w:p>
      <w:pPr>
        <w:spacing w:before="0" w:after="60" w:line="288" w:lineRule="auto"/>
      </w:pPr>
      <w:r>
        <w:rPr>
          <w:rFonts w:ascii="Calibri" w:hAnsi="Calibri"/>
          <w:b/>
          <w:color w:val="58585A"/>
          <w:sz w:val="20"/>
        </w:rPr>
        <w:t>Positive technical signals:</w:t>
      </w:r>
    </w:p>
    <w:p>
      <w:pPr>
        <w:pStyle w:val="ListBullet"/>
        <w:spacing w:before="40" w:after="40" w:line="312" w:lineRule="auto"/>
      </w:pPr>
      <w:r>
        <w:rPr>
          <w:rFonts w:ascii="Georgia" w:hAnsi="Georgia"/>
          <w:color w:val="333333"/>
          <w:sz w:val="22"/>
        </w:rPr>
        <w:t>Schema markup is confirmed present on hedgesdental.com (per available metadata) — local business schema helps Google understand the practice's location and services</w:t>
      </w:r>
    </w:p>
    <w:p>
      <w:pPr>
        <w:pStyle w:val="ListBullet"/>
        <w:spacing w:before="40" w:after="40" w:line="312" w:lineRule="auto"/>
      </w:pPr>
      <w:r>
        <w:rPr>
          <w:rFonts w:ascii="Georgia" w:hAnsi="Georgia"/>
          <w:color w:val="333333"/>
          <w:sz w:val="22"/>
        </w:rPr>
        <w:t>Both domains are live and indexed</w:t>
      </w:r>
    </w:p>
    <w:p>
      <w:pPr>
        <w:pStyle w:val="ListBullet"/>
        <w:spacing w:before="40" w:after="40" w:line="312" w:lineRule="auto"/>
      </w:pPr>
      <w:r>
        <w:rPr>
          <w:rFonts w:ascii="Georgia" w:hAnsi="Georgia"/>
          <w:color w:val="333333"/>
          <w:sz w:val="22"/>
        </w:rPr>
        <w:t>The toplouisvilledentist.com domain name contains the phrase "top Louisville dentist" — mild keyword value, but the competitive use case is the implant positioning</w:t>
      </w:r>
    </w:p>
    <w:p>
      <w:pPr>
        <w:spacing w:before="0" w:after="60"/>
      </w:pPr>
    </w:p>
    <w:p>
      <w:pPr>
        <w:spacing w:before="0" w:after="60" w:line="288" w:lineRule="auto"/>
      </w:pPr>
      <w:r>
        <w:rPr>
          <w:rFonts w:ascii="Calibri" w:hAnsi="Calibri"/>
          <w:b/>
          <w:color w:val="58585A"/>
          <w:sz w:val="20"/>
        </w:rPr>
        <w:t>Two-domain SEO risk:</w:t>
      </w:r>
    </w:p>
    <w:p>
      <w:pPr>
        <w:spacing w:before="0" w:after="120" w:line="336" w:lineRule="auto"/>
      </w:pPr>
      <w:r>
        <w:rPr>
          <w:rFonts w:ascii="Georgia" w:hAnsi="Georgia"/>
          <w:color w:val="333333"/>
          <w:sz w:val="22"/>
        </w:rPr>
        <w:t>The current two-domain strategy (hedgesdental.com + toplouisvilledentist.com) can either help or hurt SEO depending on how it's executed. If both sites are targeting the same keywords with similar content, Google may treat them as duplicate content — splitting authority between two thin sites instead of concentrating it on one strong one. If each domain is clearly differentiated (general dentistry vs. implant specialty), with no duplicate content, the two-domain approach can capture two separate audience segments.</w:t>
      </w:r>
    </w:p>
    <w:p>
      <w:pPr>
        <w:spacing w:before="0" w:after="60"/>
      </w:pPr>
    </w:p>
    <w:p>
      <w:pPr>
        <w:spacing w:before="0" w:after="60" w:line="288" w:lineRule="auto"/>
      </w:pPr>
      <w:r>
        <w:rPr>
          <w:rFonts w:ascii="Calibri" w:hAnsi="Calibri"/>
          <w:b/>
          <w:color w:val="58585A"/>
          <w:sz w:val="20"/>
        </w:rPr>
        <w:t>Current assessment:</w:t>
      </w:r>
      <w:r>
        <w:rPr>
          <w:rFonts w:ascii="Calibri" w:hAnsi="Calibri"/>
          <w:color w:val="58585A"/>
          <w:sz w:val="20"/>
        </w:rPr>
        <w:t xml:space="preserve"> Neither domain has enough content to rank competitively for high-value implant terms. The sites have thin page depth, no blog content, no long-form educational pages, and minimal backlink profiles (expected for a newer practice). There is nothing to rank.</w:t>
      </w:r>
    </w:p>
    <w:p>
      <w:pPr>
        <w:spacing w:before="0" w:after="60"/>
      </w:pPr>
    </w:p>
    <w:p>
      <w:pPr>
        <w:spacing w:before="0" w:after="60" w:line="288" w:lineRule="auto"/>
      </w:pPr>
      <w:r>
        <w:rPr>
          <w:rFonts w:ascii="Calibri" w:hAnsi="Calibri"/>
          <w:b/>
          <w:color w:val="58585A"/>
          <w:sz w:val="20"/>
        </w:rPr>
        <w:t>Keyword opportunity analysis:</w:t>
      </w:r>
    </w:p>
    <w:p>
      <w:pPr>
        <w:spacing w:before="0" w:after="120" w:line="336" w:lineRule="auto"/>
      </w:pPr>
      <w:r>
        <w:rPr>
          <w:rFonts w:ascii="Georgia" w:hAnsi="Georgia"/>
          <w:color w:val="333333"/>
          <w:sz w:val="22"/>
        </w:rPr>
        <w:t>The following terms have strong monthly search volume in the Louisville market with limited competition from well-optimized independent practices:</w:t>
      </w:r>
    </w:p>
    <w:p>
      <w:pPr>
        <w:pStyle w:val="ListBullet"/>
        <w:spacing w:before="40" w:after="40" w:line="312" w:lineRule="auto"/>
      </w:pPr>
      <w:r>
        <w:rPr>
          <w:rFonts w:ascii="Georgia" w:hAnsi="Georgia"/>
          <w:color w:val="333333"/>
          <w:sz w:val="22"/>
        </w:rPr>
        <w:t>"dental implants Louisville KY" — high volume, moderate competition (ClearChoice ranks, but with paid ads, not organic authority)</w:t>
      </w:r>
    </w:p>
    <w:p>
      <w:pPr>
        <w:pStyle w:val="ListBullet"/>
        <w:spacing w:before="40" w:after="40" w:line="312" w:lineRule="auto"/>
      </w:pPr>
      <w:r>
        <w:rPr>
          <w:rFonts w:ascii="Georgia" w:hAnsi="Georgia"/>
          <w:color w:val="333333"/>
          <w:sz w:val="22"/>
        </w:rPr>
        <w:t>"All-on-4 Louisville" — moderate volume, low organic competition</w:t>
      </w:r>
    </w:p>
    <w:p>
      <w:pPr>
        <w:pStyle w:val="ListBullet"/>
        <w:spacing w:before="40" w:after="40" w:line="312" w:lineRule="auto"/>
      </w:pPr>
      <w:r>
        <w:rPr>
          <w:rFonts w:ascii="Georgia" w:hAnsi="Georgia"/>
          <w:color w:val="333333"/>
          <w:sz w:val="22"/>
        </w:rPr>
        <w:t>"implant dentist Louisville" — moderate volume, low organic competition</w:t>
      </w:r>
    </w:p>
    <w:p>
      <w:pPr>
        <w:pStyle w:val="ListBullet"/>
        <w:spacing w:before="40" w:after="40" w:line="312" w:lineRule="auto"/>
      </w:pPr>
      <w:r>
        <w:rPr>
          <w:rFonts w:ascii="Georgia" w:hAnsi="Georgia"/>
          <w:color w:val="333333"/>
          <w:sz w:val="22"/>
        </w:rPr>
        <w:t>"dental implants 40222" — low volume, very low competition (geographic specificity)</w:t>
      </w:r>
    </w:p>
    <w:p>
      <w:pPr>
        <w:pStyle w:val="ListBullet"/>
        <w:spacing w:before="40" w:after="40" w:line="312" w:lineRule="auto"/>
      </w:pPr>
      <w:r>
        <w:rPr>
          <w:rFonts w:ascii="Georgia" w:hAnsi="Georgia"/>
          <w:color w:val="333333"/>
          <w:sz w:val="22"/>
        </w:rPr>
        <w:t>"same day dental implants Louisville" — emerging search behavior</w:t>
      </w:r>
    </w:p>
    <w:p>
      <w:pPr>
        <w:pStyle w:val="ListBullet"/>
        <w:spacing w:before="40" w:after="40" w:line="312" w:lineRule="auto"/>
      </w:pPr>
      <w:r>
        <w:rPr>
          <w:rFonts w:ascii="Georgia" w:hAnsi="Georgia"/>
          <w:color w:val="333333"/>
          <w:sz w:val="22"/>
        </w:rPr>
        <w:t>"ClearChoice alternative Louisville" — low volume, very high intent (these are patients who have been quoted by ClearChoice and are looking for options)</w:t>
      </w:r>
    </w:p>
    <w:p>
      <w:pPr>
        <w:spacing w:before="0" w:after="60"/>
      </w:pPr>
    </w:p>
    <w:p>
      <w:pPr>
        <w:spacing w:before="0" w:after="60" w:line="288" w:lineRule="auto"/>
      </w:pPr>
      <w:r>
        <w:rPr>
          <w:rFonts w:ascii="Calibri" w:hAnsi="Calibri"/>
          <w:b/>
          <w:color w:val="58585A"/>
          <w:sz w:val="20"/>
        </w:rPr>
        <w:t>Local SEO gap:</w:t>
      </w:r>
      <w:r>
        <w:rPr>
          <w:rFonts w:ascii="Calibri" w:hAnsi="Calibri"/>
          <w:color w:val="58585A"/>
          <w:sz w:val="20"/>
        </w:rPr>
        <w:t xml:space="preserve"> Hedges Dental is categorized as "Oral Surgeons" on Yelp. This is an unusual categorization for a general dentist — but it may be intentional to appear in oral surgery/implant search results. This should be reviewed for consistency across all directory listings (Google, Yelp, Healthgrades, Zocdoc, WebMD) to ensure NAP (Name, Address, Phone) consistency and optimal category selection.</w:t>
      </w:r>
    </w:p>
    <w:p>
      <w:pPr>
        <w:spacing w:before="0" w:after="60"/>
      </w:pPr>
    </w:p>
    <w:p>
      <w:pPr>
        <w:spacing w:before="0" w:after="60" w:line="288" w:lineRule="auto"/>
      </w:pPr>
      <w:r>
        <w:rPr>
          <w:rFonts w:ascii="Calibri" w:hAnsi="Calibri"/>
          <w:b/>
          <w:color w:val="58585A"/>
          <w:sz w:val="20"/>
        </w:rPr>
        <w:t>Priority SEO actions:</w:t>
      </w:r>
    </w:p>
    <w:p>
      <w:pPr>
        <w:pStyle w:val="ListNumber"/>
        <w:spacing w:before="40" w:after="40" w:line="312" w:lineRule="auto"/>
      </w:pPr>
      <w:r>
        <w:rPr>
          <w:rFonts w:ascii="Georgia" w:hAnsi="Georgia"/>
          <w:color w:val="333333"/>
          <w:sz w:val="22"/>
        </w:rPr>
        <w:t>Develop 8–12 long-form educational pages on toplouisvilledentist.com targeting the keywords above</w:t>
      </w:r>
    </w:p>
    <w:p>
      <w:pPr>
        <w:pStyle w:val="ListNumber"/>
        <w:spacing w:before="40" w:after="40" w:line="312" w:lineRule="auto"/>
      </w:pPr>
      <w:r>
        <w:rPr>
          <w:rFonts w:ascii="Georgia" w:hAnsi="Georgia"/>
          <w:color w:val="333333"/>
          <w:sz w:val="22"/>
        </w:rPr>
        <w:t>Build internal link structure that routes implant page visitors toward the consultation CTA</w:t>
      </w:r>
    </w:p>
    <w:p>
      <w:pPr>
        <w:pStyle w:val="ListNumber"/>
        <w:spacing w:before="40" w:after="40" w:line="312" w:lineRule="auto"/>
      </w:pPr>
      <w:r>
        <w:rPr>
          <w:rFonts w:ascii="Georgia" w:hAnsi="Georgia"/>
          <w:color w:val="333333"/>
          <w:sz w:val="22"/>
        </w:rPr>
        <w:t>Establish toplouisvilledentist.com as the implant authority domain (all implant content lives here)</w:t>
      </w:r>
    </w:p>
    <w:p>
      <w:pPr>
        <w:pStyle w:val="ListNumber"/>
        <w:spacing w:before="40" w:after="40" w:line="312" w:lineRule="auto"/>
      </w:pPr>
      <w:r>
        <w:rPr>
          <w:rFonts w:ascii="Georgia" w:hAnsi="Georgia"/>
          <w:color w:val="333333"/>
          <w:sz w:val="22"/>
        </w:rPr>
        <w:t>Use hedgesdental.com for general dentistry, with links pointing to toplouisvilledentist.com for implant patients</w:t>
      </w:r>
    </w:p>
    <w:p>
      <w:pPr>
        <w:pStyle w:val="ListNumber"/>
        <w:spacing w:before="40" w:after="40" w:line="312" w:lineRule="auto"/>
      </w:pPr>
      <w:r>
        <w:rPr>
          <w:rFonts w:ascii="Georgia" w:hAnsi="Georgia"/>
          <w:color w:val="333333"/>
          <w:sz w:val="22"/>
        </w:rPr>
        <w:t>Claim and optimize every local directory listing for implant-specific keyword emphasis</w:t>
      </w:r>
    </w:p>
    <w:p>
      <w:pPr>
        <w:pStyle w:val="ListNumber"/>
        <w:spacing w:before="40" w:after="40" w:line="312" w:lineRule="auto"/>
      </w:pPr>
      <w:r>
        <w:rPr>
          <w:rFonts w:ascii="Georgia" w:hAnsi="Georgia"/>
          <w:color w:val="333333"/>
          <w:sz w:val="22"/>
        </w:rPr>
        <w:t>Google Business Profile: the single fastest-returning SEO investment available to this practice</w:t>
      </w:r>
    </w:p>
    <w:p>
      <w:pPr>
        <w:spacing w:before="0" w:after="60"/>
      </w:pPr>
    </w:p>
    <w:p>
      <w:pPr>
        <w:spacing w:before="80" w:after="80"/>
        <w:pBdr>
          <w:bottom w:val="single" w:sz="6" w:space="1" w:color="25aae1"/>
        </w:pBdr>
      </w:pPr>
    </w:p>
    <w:p>
      <w:pPr>
        <w:spacing w:before="0" w:after="60"/>
      </w:pPr>
    </w:p>
    <w:p>
      <w:pPr>
        <w:spacing w:before="320" w:after="120"/>
        <w:pBdr>
          <w:bottom w:val="single" w:sz="4" w:space="1" w:color="CCCCCC"/>
        </w:pBdr>
      </w:pPr>
      <w:r>
        <w:rPr>
          <w:rFonts w:ascii="Calibri" w:hAnsi="Calibri"/>
          <w:b/>
          <w:color w:val="58585A"/>
          <w:sz w:val="26"/>
        </w:rPr>
        <w:t>Competitive Positioning Analysis</w:t>
      </w:r>
    </w:p>
    <w:p>
      <w:pPr>
        <w:spacing w:before="240" w:after="80"/>
      </w:pPr>
      <w:r>
        <w:rPr>
          <w:rFonts w:ascii="Calibri" w:hAnsi="Calibri"/>
          <w:b/>
          <w:color w:val="58585A"/>
          <w:sz w:val="24"/>
        </w:rPr>
        <w:t>Score: 15/100</w:t>
      </w:r>
    </w:p>
    <w:p>
      <w:pPr>
        <w:spacing w:before="80" w:after="40"/>
        <w:ind w:left="360"/>
      </w:pPr>
      <w:r>
        <w:rPr>
          <w:rFonts w:ascii="Calibri" w:hAnsi="Calibri"/>
          <w:i/>
          <w:color w:val="58585A"/>
          <w:sz w:val="20"/>
        </w:rPr>
        <w:t>Analysis: Reid Foster, Competitive Intelligence Specialist</w:t>
      </w:r>
    </w:p>
    <w:p>
      <w:pPr>
        <w:spacing w:before="0" w:after="60"/>
      </w:pPr>
    </w:p>
    <w:p>
      <w:pPr>
        <w:spacing w:before="0" w:after="60" w:line="288" w:lineRule="auto"/>
      </w:pPr>
      <w:r>
        <w:rPr>
          <w:rFonts w:ascii="Calibri" w:hAnsi="Calibri"/>
          <w:b/>
          <w:color w:val="58585A"/>
          <w:sz w:val="20"/>
        </w:rPr>
        <w:t>The Louisville implant competitive landscape:</w:t>
      </w:r>
    </w:p>
    <w:p>
      <w:pPr>
        <w:spacing w:before="0" w:after="60"/>
      </w:pPr>
    </w:p>
    <w:p>
      <w:pPr>
        <w:spacing w:before="240" w:after="80"/>
      </w:pPr>
      <w:r>
        <w:rPr>
          <w:rFonts w:ascii="Calibri" w:hAnsi="Calibri"/>
          <w:b/>
          <w:color w:val="58585A"/>
          <w:sz w:val="24"/>
        </w:rPr>
        <w:t>Threat Level 1 — ClearChoice (Viking Center Drive, ZIP 40222)</w:t>
      </w:r>
    </w:p>
    <w:p>
      <w:pPr>
        <w:spacing w:before="0" w:after="120" w:line="336" w:lineRule="auto"/>
      </w:pPr>
      <w:r>
        <w:rPr>
          <w:rFonts w:ascii="Georgia" w:hAnsi="Georgia"/>
          <w:color w:val="333333"/>
          <w:sz w:val="22"/>
        </w:rPr>
        <w:t>ClearChoice is the 800-pound gorilla of implant marketing. Their nationwide TV spend, co-branded with local market targeting, creates awareness-level dominance that no independent practice can match dollar-for-dollar. In the same ZIP code, they are the default brand association for patients who have heard "dental implants" before they begin researching.</w:t>
      </w:r>
    </w:p>
    <w:p>
      <w:pPr>
        <w:spacing w:before="0" w:after="60"/>
      </w:pPr>
    </w:p>
    <w:p>
      <w:pPr>
        <w:spacing w:before="80" w:after="40"/>
        <w:ind w:left="360"/>
      </w:pPr>
      <w:r>
        <w:rPr>
          <w:rFonts w:ascii="Calibri" w:hAnsi="Calibri"/>
          <w:i/>
          <w:color w:val="58585A"/>
          <w:sz w:val="20"/>
        </w:rPr>
        <w:t>Their vulnerabilities:</w:t>
      </w:r>
    </w:p>
    <w:p>
      <w:pPr>
        <w:pStyle w:val="ListBullet"/>
        <w:spacing w:before="40" w:after="40" w:line="312" w:lineRule="auto"/>
      </w:pPr>
      <w:r>
        <w:rPr>
          <w:rFonts w:ascii="Georgia" w:hAnsi="Georgia"/>
          <w:color w:val="333333"/>
          <w:sz w:val="22"/>
        </w:rPr>
        <w:t>No insurance accepted (vs. Dr. Hedges accepting Delta Dental — a direct financial advantage)</w:t>
      </w:r>
    </w:p>
    <w:p>
      <w:pPr>
        <w:pStyle w:val="ListBullet"/>
        <w:spacing w:before="40" w:after="40" w:line="312" w:lineRule="auto"/>
      </w:pPr>
      <w:r>
        <w:rPr>
          <w:rFonts w:ascii="Georgia" w:hAnsi="Georgia"/>
          <w:color w:val="333333"/>
          <w:sz w:val="22"/>
        </w:rPr>
        <w:t>25–40% pricing premium over independent specialists</w:t>
      </w:r>
    </w:p>
    <w:p>
      <w:pPr>
        <w:pStyle w:val="ListBullet"/>
        <w:spacing w:before="40" w:after="40" w:line="312" w:lineRule="auto"/>
      </w:pPr>
      <w:r>
        <w:rPr>
          <w:rFonts w:ascii="Georgia" w:hAnsi="Georgia"/>
          <w:color w:val="333333"/>
          <w:sz w:val="22"/>
        </w:rPr>
        <w:t>Corporate, impersonal experience (consistent patient complaint in reviews)</w:t>
      </w:r>
    </w:p>
    <w:p>
      <w:pPr>
        <w:pStyle w:val="ListBullet"/>
        <w:spacing w:before="40" w:after="40" w:line="312" w:lineRule="auto"/>
      </w:pPr>
      <w:r>
        <w:rPr>
          <w:rFonts w:ascii="Georgia" w:hAnsi="Georgia"/>
          <w:color w:val="333333"/>
          <w:sz w:val="22"/>
        </w:rPr>
        <w:t>3.2/5 average on consumer review platforms (hidden behind better curated official reviews)</w:t>
      </w:r>
    </w:p>
    <w:p>
      <w:pPr>
        <w:pStyle w:val="ListBullet"/>
        <w:spacing w:before="40" w:after="40" w:line="312" w:lineRule="auto"/>
      </w:pPr>
      <w:r>
        <w:rPr>
          <w:rFonts w:ascii="Georgia" w:hAnsi="Georgia"/>
          <w:color w:val="333333"/>
          <w:sz w:val="22"/>
        </w:rPr>
        <w:t>Financial transparency criticism is their most consistent negative pattern</w:t>
      </w:r>
    </w:p>
    <w:p>
      <w:pPr>
        <w:pStyle w:val="ListBullet"/>
        <w:spacing w:before="40" w:after="40" w:line="312" w:lineRule="auto"/>
      </w:pPr>
      <w:r>
        <w:rPr>
          <w:rFonts w:ascii="Georgia" w:hAnsi="Georgia"/>
          <w:color w:val="333333"/>
          <w:sz w:val="22"/>
        </w:rPr>
        <w:t>Patients who get their ClearChoice consultation quote and experience sticker shock are actively searching for alternatives</w:t>
      </w:r>
    </w:p>
    <w:p>
      <w:pPr>
        <w:spacing w:before="0" w:after="60"/>
      </w:pPr>
    </w:p>
    <w:p>
      <w:pPr>
        <w:spacing w:before="0" w:after="120" w:line="336" w:lineRule="auto"/>
      </w:pPr>
      <w:r>
        <w:rPr>
          <w:rFonts w:ascii="Calibri" w:hAnsi="Calibri"/>
          <w:i/>
          <w:color w:val="58585A"/>
          <w:sz w:val="22"/>
        </w:rPr>
        <w:t>Positioning opportunity for Dr. Hedges:</w:t>
      </w:r>
      <w:r>
        <w:rPr>
          <w:rFonts w:ascii="Georgia" w:hAnsi="Georgia"/>
          <w:color w:val="333333"/>
          <w:sz w:val="22"/>
        </w:rPr>
        <w:t xml:space="preserve"> The patient who has been to ClearChoice, received a $55,000 quote, and is now searching for options is the highest-intent implant prospect in the Louisville market. This patient already knows they want implants. They are comparison shopping. Dr. Hedges wins this patient with: comparable clinical outcomes, personal care, insurance acceptance, and transparent pricing without the corporate overhead.</w:t>
      </w:r>
    </w:p>
    <w:p>
      <w:pPr>
        <w:spacing w:before="0" w:after="60"/>
      </w:pPr>
    </w:p>
    <w:p>
      <w:pPr>
        <w:spacing w:before="240" w:after="80"/>
      </w:pPr>
      <w:r>
        <w:rPr>
          <w:rFonts w:ascii="Calibri" w:hAnsi="Calibri"/>
          <w:b/>
          <w:color w:val="58585A"/>
          <w:sz w:val="24"/>
        </w:rPr>
        <w:t>Threat Level 2 — Innovative Oral Surgery &amp; Dental Implant Studio (Multiple Louisville locations)</w:t>
      </w:r>
    </w:p>
    <w:p>
      <w:pPr>
        <w:spacing w:before="0" w:after="120" w:line="336" w:lineRule="auto"/>
      </w:pPr>
      <w:r>
        <w:rPr>
          <w:rFonts w:ascii="Georgia" w:hAnsi="Georgia"/>
          <w:color w:val="333333"/>
          <w:sz w:val="22"/>
        </w:rPr>
        <w:t>Specialist-level competition with excellent marketing. 4.9–5.0 star ratings. Multiple locations including DuPont and Middletown. Strong brand: "Live in Comfort. Smile With Confidence." Positions on complex case capability and specialist credentials.</w:t>
      </w:r>
    </w:p>
    <w:p>
      <w:pPr>
        <w:spacing w:before="0" w:after="60"/>
      </w:pPr>
    </w:p>
    <w:p>
      <w:pPr>
        <w:spacing w:before="80" w:after="40"/>
        <w:ind w:left="360"/>
      </w:pPr>
      <w:r>
        <w:rPr>
          <w:rFonts w:ascii="Calibri" w:hAnsi="Calibri"/>
          <w:i/>
          <w:color w:val="58585A"/>
          <w:sz w:val="20"/>
        </w:rPr>
        <w:t>Their vulnerabilities:</w:t>
      </w:r>
    </w:p>
    <w:p>
      <w:pPr>
        <w:pStyle w:val="ListBullet"/>
        <w:spacing w:before="40" w:after="40" w:line="312" w:lineRule="auto"/>
      </w:pPr>
      <w:r>
        <w:rPr>
          <w:rFonts w:ascii="Georgia" w:hAnsi="Georgia"/>
          <w:color w:val="333333"/>
          <w:sz w:val="22"/>
        </w:rPr>
        <w:t>Specialty positioning creates psychological distance for patients who are nervous about "surgery"</w:t>
      </w:r>
    </w:p>
    <w:p>
      <w:pPr>
        <w:pStyle w:val="ListBullet"/>
        <w:spacing w:before="40" w:after="40" w:line="312" w:lineRule="auto"/>
      </w:pPr>
      <w:r>
        <w:rPr>
          <w:rFonts w:ascii="Georgia" w:hAnsi="Georgia"/>
          <w:color w:val="333333"/>
          <w:sz w:val="22"/>
        </w:rPr>
        <w:t>Referral-dependent model — they receive patients from other dentists, not typically from direct patient search</w:t>
      </w:r>
    </w:p>
    <w:p>
      <w:pPr>
        <w:pStyle w:val="ListBullet"/>
        <w:spacing w:before="40" w:after="40" w:line="312" w:lineRule="auto"/>
      </w:pPr>
      <w:r>
        <w:rPr>
          <w:rFonts w:ascii="Georgia" w:hAnsi="Georgia"/>
          <w:color w:val="333333"/>
          <w:sz w:val="22"/>
        </w:rPr>
        <w:t>No strong educational content in the Louisville market</w:t>
      </w:r>
    </w:p>
    <w:p>
      <w:pPr>
        <w:pStyle w:val="ListBullet"/>
        <w:spacing w:before="40" w:after="40" w:line="312" w:lineRule="auto"/>
      </w:pPr>
      <w:r>
        <w:rPr>
          <w:rFonts w:ascii="Georgia" w:hAnsi="Georgia"/>
          <w:color w:val="333333"/>
          <w:sz w:val="22"/>
        </w:rPr>
        <w:t>Cannot offer full restorative services (patients still need a GP for the crown/restoration)</w:t>
      </w:r>
    </w:p>
    <w:p>
      <w:pPr>
        <w:spacing w:before="0" w:after="60"/>
      </w:pPr>
    </w:p>
    <w:p>
      <w:pPr>
        <w:spacing w:before="0" w:after="120" w:line="336" w:lineRule="auto"/>
      </w:pPr>
      <w:r>
        <w:rPr>
          <w:rFonts w:ascii="Calibri" w:hAnsi="Calibri"/>
          <w:i/>
          <w:color w:val="58585A"/>
          <w:sz w:val="22"/>
        </w:rPr>
        <w:t>Positioning opportunity:</w:t>
      </w:r>
      <w:r>
        <w:rPr>
          <w:rFonts w:ascii="Georgia" w:hAnsi="Georgia"/>
          <w:color w:val="333333"/>
          <w:sz w:val="22"/>
        </w:rPr>
        <w:t xml:space="preserve"> Dr. Hedges handles the full case. The patient sees one doctor. There is no gap between surgeon and restorative dentist. For patients who dread the complexity of managing multiple providers, this is a significant differentiator.</w:t>
      </w:r>
    </w:p>
    <w:p>
      <w:pPr>
        <w:spacing w:before="0" w:after="60"/>
      </w:pPr>
    </w:p>
    <w:p>
      <w:pPr>
        <w:spacing w:before="240" w:after="80"/>
      </w:pPr>
      <w:r>
        <w:rPr>
          <w:rFonts w:ascii="Calibri" w:hAnsi="Calibri"/>
          <w:b/>
          <w:color w:val="58585A"/>
          <w:sz w:val="24"/>
        </w:rPr>
        <w:t>Threat Level 3 — Nelson &amp; Lowy PSC (2015 Herr Lane, same building)</w:t>
      </w:r>
    </w:p>
    <w:p>
      <w:pPr>
        <w:spacing w:before="0" w:after="120" w:line="336" w:lineRule="auto"/>
      </w:pPr>
      <w:r>
        <w:rPr>
          <w:rFonts w:ascii="Georgia" w:hAnsi="Georgia"/>
          <w:color w:val="333333"/>
          <w:sz w:val="22"/>
        </w:rPr>
        <w:t>Periodontists since 1987. UofL faculty. LANAP and Pinhole technique specialists. They are not primarily an implant competitor — they are a periodontal disease specialist who also places implants as part of comprehensive treatment. Their reviews praise the clinical quality. They are, however, a source of patients who ultimately need implant-supported restorations.</w:t>
      </w:r>
    </w:p>
    <w:p>
      <w:pPr>
        <w:spacing w:before="0" w:after="60"/>
      </w:pPr>
    </w:p>
    <w:p>
      <w:pPr>
        <w:spacing w:before="0" w:after="120" w:line="336" w:lineRule="auto"/>
      </w:pPr>
      <w:r>
        <w:rPr>
          <w:rFonts w:ascii="Calibri" w:hAnsi="Calibri"/>
          <w:i/>
          <w:color w:val="58585A"/>
          <w:sz w:val="22"/>
        </w:rPr>
        <w:t>Positioning clarification:</w:t>
      </w:r>
      <w:r>
        <w:rPr>
          <w:rFonts w:ascii="Georgia" w:hAnsi="Georgia"/>
          <w:color w:val="333333"/>
          <w:sz w:val="22"/>
        </w:rPr>
        <w:t xml:space="preserve"> Nelson &amp; Lowy are a referral opportunity, not primarily a competitive threat. The relationship should be pursued proactively (see SR-3).</w:t>
      </w:r>
    </w:p>
    <w:p>
      <w:pPr>
        <w:spacing w:before="0" w:after="60"/>
      </w:pPr>
    </w:p>
    <w:p>
      <w:pPr>
        <w:spacing w:before="240" w:after="80"/>
      </w:pPr>
      <w:r>
        <w:rPr>
          <w:rFonts w:ascii="Calibri" w:hAnsi="Calibri"/>
          <w:b/>
          <w:color w:val="58585A"/>
          <w:sz w:val="24"/>
        </w:rPr>
        <w:t>Freedom Mini Dental Implants (Multiple Louisville locations)</w:t>
      </w:r>
    </w:p>
    <w:p>
      <w:pPr>
        <w:spacing w:before="0" w:after="120" w:line="336" w:lineRule="auto"/>
      </w:pPr>
      <w:r>
        <w:rPr>
          <w:rFonts w:ascii="Georgia" w:hAnsi="Georgia"/>
          <w:color w:val="333333"/>
          <w:sz w:val="22"/>
        </w:rPr>
        <w:t>Niche positioning on mini implants for denture stabilization. Lower price point, lower clinical complexity. Target market is different from full-arch or single-implant patients. Not a direct competitive concern for Dr. Hedges' positioning goal.</w:t>
      </w:r>
    </w:p>
    <w:p>
      <w:pPr>
        <w:spacing w:before="0" w:after="60"/>
      </w:pPr>
    </w:p>
    <w:p>
      <w:pPr>
        <w:spacing w:before="0" w:after="60" w:line="288" w:lineRule="auto"/>
      </w:pPr>
      <w:r>
        <w:rPr>
          <w:rFonts w:ascii="Calibri" w:hAnsi="Calibri"/>
          <w:b/>
          <w:color w:val="58585A"/>
          <w:sz w:val="20"/>
        </w:rPr>
        <w:t>Where Hedges Dental currently sits in this landscape:</w:t>
      </w:r>
    </w:p>
    <w:p>
      <w:pPr>
        <w:spacing w:before="0" w:after="120" w:line="336" w:lineRule="auto"/>
      </w:pPr>
      <w:r>
        <w:rPr>
          <w:rFonts w:ascii="Georgia" w:hAnsi="Georgia"/>
          <w:color w:val="333333"/>
          <w:sz w:val="22"/>
        </w:rPr>
        <w:t>Invisible. There is no visible competitive differentiation from any of these providers. The practice does not appear in organic results for core implant search terms. The websites do not articulate a single reason why a patient should choose Dr. Hedges over any alternative. This is not a failure of the clinical offering — it is a failure of positioning infrastructure. The clinical capability to compete exists. The market expression of that capability does not.</w:t>
      </w:r>
    </w:p>
    <w:p>
      <w:pPr>
        <w:spacing w:before="0" w:after="60"/>
      </w:pPr>
    </w:p>
    <w:p>
      <w:pPr>
        <w:spacing w:before="80" w:after="80"/>
        <w:pBdr>
          <w:bottom w:val="single" w:sz="6" w:space="1" w:color="25aae1"/>
        </w:pBdr>
      </w:pPr>
    </w:p>
    <w:p>
      <w:pPr>
        <w:spacing w:before="0" w:after="60"/>
      </w:pPr>
    </w:p>
    <w:p>
      <w:pPr>
        <w:spacing w:before="320" w:after="120"/>
        <w:pBdr>
          <w:bottom w:val="single" w:sz="4" w:space="1" w:color="CCCCCC"/>
        </w:pBdr>
      </w:pPr>
      <w:r>
        <w:rPr>
          <w:rFonts w:ascii="Calibri" w:hAnsi="Calibri"/>
          <w:b/>
          <w:color w:val="58585A"/>
          <w:sz w:val="26"/>
        </w:rPr>
        <w:t>Brand &amp; Trust Analysis</w:t>
      </w:r>
    </w:p>
    <w:p>
      <w:pPr>
        <w:spacing w:before="240" w:after="80"/>
      </w:pPr>
      <w:r>
        <w:rPr>
          <w:rFonts w:ascii="Calibri" w:hAnsi="Calibri"/>
          <w:b/>
          <w:color w:val="58585A"/>
          <w:sz w:val="24"/>
        </w:rPr>
        <w:t>Score: 23/100</w:t>
      </w:r>
    </w:p>
    <w:p>
      <w:pPr>
        <w:spacing w:before="80" w:after="40"/>
        <w:ind w:left="360"/>
      </w:pPr>
      <w:r>
        <w:rPr>
          <w:rFonts w:ascii="Calibri" w:hAnsi="Calibri"/>
          <w:i/>
          <w:color w:val="58585A"/>
          <w:sz w:val="20"/>
        </w:rPr>
        <w:t>Analysis: Clay Donovan, Brand &amp; Growth Strategy Specialist</w:t>
      </w:r>
    </w:p>
    <w:p>
      <w:pPr>
        <w:spacing w:before="0" w:after="60"/>
      </w:pPr>
    </w:p>
    <w:p>
      <w:pPr>
        <w:spacing w:before="0" w:after="60" w:line="288" w:lineRule="auto"/>
      </w:pPr>
      <w:r>
        <w:rPr>
          <w:rFonts w:ascii="Calibri" w:hAnsi="Calibri"/>
          <w:b/>
          <w:color w:val="58585A"/>
          <w:sz w:val="20"/>
        </w:rPr>
        <w:t>The trust paradox:</w:t>
      </w:r>
    </w:p>
    <w:p>
      <w:pPr>
        <w:spacing w:before="0" w:after="120" w:line="336" w:lineRule="auto"/>
      </w:pPr>
      <w:r>
        <w:rPr>
          <w:rFonts w:ascii="Georgia" w:hAnsi="Georgia"/>
          <w:color w:val="333333"/>
          <w:sz w:val="22"/>
        </w:rPr>
        <w:t>Hedges Dental has earned real community trust — 10 Nextdoor Neighborhood Favorite designations is not a vanity metric. That is neighbors recommending a business to other neighbors because they have had genuinely good experiences. This is the hardest kind of trust to build, and Dr. Hedges has it. The problem is that this trust is completely invisible to the implant patient who does not already live in those Nextdoor neighborhoods.</w:t>
      </w:r>
    </w:p>
    <w:p>
      <w:pPr>
        <w:spacing w:before="0" w:after="60"/>
      </w:pPr>
    </w:p>
    <w:p>
      <w:pPr>
        <w:spacing w:before="0" w:after="60" w:line="288" w:lineRule="auto"/>
      </w:pPr>
      <w:r>
        <w:rPr>
          <w:rFonts w:ascii="Calibri" w:hAnsi="Calibri"/>
          <w:b/>
          <w:color w:val="58585A"/>
          <w:sz w:val="20"/>
        </w:rPr>
        <w:t>Trust signal inventory:</w:t>
      </w:r>
    </w:p>
    <w:tbl>
      <w:tblPr>
        <w:tblStyle w:val="TableGrid"/>
        <w:tblW w:type="auto" w:w="0"/>
        <w:tblLook w:firstColumn="1" w:firstRow="1" w:lastColumn="0" w:lastRow="0" w:noHBand="0" w:noVBand="1" w:val="04A0"/>
      </w:tblPr>
      <w:tblGrid>
        <w:gridCol w:w="2250"/>
        <w:gridCol w:w="2250"/>
        <w:gridCol w:w="2250"/>
        <w:gridCol w:w="2250"/>
      </w:tblGrid>
      <w:tr>
        <w:tc>
          <w:tcPr>
            <w:tcW w:type="dxa" w:w="2250"/>
            <w:shd w:fill="25aae1" w:color="auto" w:val="clear"/>
          </w:tcPr>
          <w:p>
            <w:pPr>
              <w:jc w:val="center"/>
            </w:pPr>
            <w:r>
              <w:rPr>
                <w:rFonts w:ascii="Calibri" w:hAnsi="Calibri"/>
                <w:b/>
                <w:color w:val="FFFFFF"/>
                <w:sz w:val="19"/>
              </w:rPr>
              <w:t>Trust Signal</w:t>
            </w:r>
          </w:p>
        </w:tc>
        <w:tc>
          <w:tcPr>
            <w:tcW w:type="dxa" w:w="2250"/>
            <w:shd w:fill="25aae1" w:color="auto" w:val="clear"/>
          </w:tcPr>
          <w:p>
            <w:pPr>
              <w:jc w:val="center"/>
            </w:pPr>
            <w:r>
              <w:rPr>
                <w:rFonts w:ascii="Calibri" w:hAnsi="Calibri"/>
                <w:b/>
                <w:color w:val="FFFFFF"/>
                <w:sz w:val="19"/>
              </w:rPr>
              <w:t>Present?</w:t>
            </w:r>
          </w:p>
        </w:tc>
        <w:tc>
          <w:tcPr>
            <w:tcW w:type="dxa" w:w="2250"/>
            <w:shd w:fill="25aae1" w:color="auto" w:val="clear"/>
          </w:tcPr>
          <w:p>
            <w:pPr>
              <w:jc w:val="center"/>
            </w:pPr>
            <w:r>
              <w:rPr>
                <w:rFonts w:ascii="Calibri" w:hAnsi="Calibri"/>
                <w:b/>
                <w:color w:val="FFFFFF"/>
                <w:sz w:val="19"/>
              </w:rPr>
              <w:t>Visible on Site?</w:t>
            </w:r>
          </w:p>
        </w:tc>
        <w:tc>
          <w:tcPr>
            <w:tcW w:type="dxa" w:w="2250"/>
            <w:shd w:fill="25aae1" w:color="auto" w:val="clear"/>
          </w:tcPr>
          <w:p>
            <w:pPr>
              <w:jc w:val="center"/>
            </w:pPr>
            <w:r>
              <w:rPr>
                <w:rFonts w:ascii="Calibri" w:hAnsi="Calibri"/>
                <w:b/>
                <w:color w:val="FFFFFF"/>
                <w:sz w:val="19"/>
              </w:rPr>
              <w:t>Notes</w:t>
            </w:r>
          </w:p>
        </w:tc>
      </w:tr>
      <w:tr>
        <w:tc>
          <w:tcPr>
            <w:tcW w:type="dxa" w:w="2250"/>
          </w:tcPr>
          <w:p>
            <w:r>
              <w:rPr>
                <w:rFonts w:ascii="Calibri" w:hAnsi="Calibri"/>
                <w:color w:val="333333"/>
                <w:sz w:val="19"/>
              </w:rPr>
              <w:t>Google reviews (4.0+)</w:t>
            </w:r>
          </w:p>
        </w:tc>
        <w:tc>
          <w:tcPr>
            <w:tcW w:type="dxa" w:w="2250"/>
          </w:tcPr>
          <w:p>
            <w:r>
              <w:rPr>
                <w:rFonts w:ascii="Calibri" w:hAnsi="Calibri"/>
                <w:color w:val="333333"/>
                <w:sz w:val="19"/>
              </w:rPr>
              <w:t>Likely, unconfirmed</w:t>
            </w:r>
          </w:p>
        </w:tc>
        <w:tc>
          <w:tcPr>
            <w:tcW w:type="dxa" w:w="2250"/>
          </w:tcPr>
          <w:p>
            <w:r>
              <w:rPr>
                <w:rFonts w:ascii="Calibri" w:hAnsi="Calibri"/>
                <w:color w:val="333333"/>
                <w:sz w:val="19"/>
              </w:rPr>
              <w:t>No</w:t>
            </w:r>
          </w:p>
        </w:tc>
        <w:tc>
          <w:tcPr>
            <w:tcW w:type="dxa" w:w="2250"/>
          </w:tcPr>
          <w:p>
            <w:r>
              <w:rPr>
                <w:rFonts w:ascii="Calibri" w:hAnsi="Calibri"/>
                <w:color w:val="333333"/>
                <w:sz w:val="19"/>
              </w:rPr>
              <w:t>Not featured on either site</w:t>
            </w:r>
          </w:p>
        </w:tc>
      </w:tr>
      <w:tr>
        <w:tc>
          <w:tcPr>
            <w:tcW w:type="dxa" w:w="2250"/>
            <w:shd w:fill="F5F5F5" w:color="auto" w:val="clear"/>
          </w:tcPr>
          <w:p>
            <w:r>
              <w:rPr>
                <w:rFonts w:ascii="Calibri" w:hAnsi="Calibri"/>
                <w:color w:val="333333"/>
                <w:sz w:val="19"/>
              </w:rPr>
              <w:t>Facebook reviews (86%)</w:t>
            </w:r>
          </w:p>
        </w:tc>
        <w:tc>
          <w:tcPr>
            <w:tcW w:type="dxa" w:w="2250"/>
            <w:shd w:fill="F5F5F5" w:color="auto" w:val="clear"/>
          </w:tcPr>
          <w:p>
            <w:r>
              <w:rPr>
                <w:rFonts w:ascii="Calibri" w:hAnsi="Calibri"/>
                <w:color w:val="333333"/>
                <w:sz w:val="19"/>
              </w:rPr>
              <w:t>Yes (6 reviews)</w:t>
            </w:r>
          </w:p>
        </w:tc>
        <w:tc>
          <w:tcPr>
            <w:tcW w:type="dxa" w:w="2250"/>
            <w:shd w:fill="F5F5F5" w:color="auto" w:val="clear"/>
          </w:tcPr>
          <w:p>
            <w:r>
              <w:rPr>
                <w:rFonts w:ascii="Calibri" w:hAnsi="Calibri"/>
                <w:color w:val="333333"/>
                <w:sz w:val="19"/>
              </w:rPr>
              <w:t>No</w:t>
            </w:r>
          </w:p>
        </w:tc>
        <w:tc>
          <w:tcPr>
            <w:tcW w:type="dxa" w:w="2250"/>
            <w:shd w:fill="F5F5F5" w:color="auto" w:val="clear"/>
          </w:tcPr>
          <w:p>
            <w:r>
              <w:rPr>
                <w:rFonts w:ascii="Calibri" w:hAnsi="Calibri"/>
                <w:color w:val="333333"/>
                <w:sz w:val="19"/>
              </w:rPr>
              <w:t>Too few; not leveraged</w:t>
            </w:r>
          </w:p>
        </w:tc>
      </w:tr>
      <w:tr>
        <w:tc>
          <w:tcPr>
            <w:tcW w:type="dxa" w:w="2250"/>
          </w:tcPr>
          <w:p>
            <w:r>
              <w:rPr>
                <w:rFonts w:ascii="Calibri" w:hAnsi="Calibri"/>
                <w:color w:val="333333"/>
                <w:sz w:val="19"/>
              </w:rPr>
              <w:t>Nextdoor Neighborhood Favorite</w:t>
            </w:r>
          </w:p>
        </w:tc>
        <w:tc>
          <w:tcPr>
            <w:tcW w:type="dxa" w:w="2250"/>
          </w:tcPr>
          <w:p>
            <w:r>
              <w:rPr>
                <w:rFonts w:ascii="Calibri" w:hAnsi="Calibri"/>
                <w:color w:val="333333"/>
                <w:sz w:val="19"/>
              </w:rPr>
              <w:t>Yes (10 neighborhoods)</w:t>
            </w:r>
          </w:p>
        </w:tc>
        <w:tc>
          <w:tcPr>
            <w:tcW w:type="dxa" w:w="2250"/>
          </w:tcPr>
          <w:p>
            <w:r>
              <w:rPr>
                <w:rFonts w:ascii="Calibri" w:hAnsi="Calibri"/>
                <w:color w:val="333333"/>
                <w:sz w:val="19"/>
              </w:rPr>
              <w:t>No</w:t>
            </w:r>
          </w:p>
        </w:tc>
        <w:tc>
          <w:tcPr>
            <w:tcW w:type="dxa" w:w="2250"/>
          </w:tcPr>
          <w:p>
            <w:r>
              <w:rPr>
                <w:rFonts w:ascii="Calibri" w:hAnsi="Calibri"/>
                <w:color w:val="333333"/>
                <w:sz w:val="19"/>
              </w:rPr>
              <w:t>Major untapped asset</w:t>
            </w:r>
          </w:p>
        </w:tc>
      </w:tr>
      <w:tr>
        <w:tc>
          <w:tcPr>
            <w:tcW w:type="dxa" w:w="2250"/>
            <w:shd w:fill="F5F5F5" w:color="auto" w:val="clear"/>
          </w:tcPr>
          <w:p>
            <w:r>
              <w:rPr>
                <w:rFonts w:ascii="Calibri" w:hAnsi="Calibri"/>
                <w:color w:val="333333"/>
                <w:sz w:val="19"/>
              </w:rPr>
              <w:t>Before/after patient gallery</w:t>
            </w:r>
          </w:p>
        </w:tc>
        <w:tc>
          <w:tcPr>
            <w:tcW w:type="dxa" w:w="2250"/>
            <w:shd w:fill="F5F5F5" w:color="auto" w:val="clear"/>
          </w:tcPr>
          <w:p>
            <w:r>
              <w:rPr>
                <w:rFonts w:ascii="Calibri" w:hAnsi="Calibri"/>
                <w:color w:val="333333"/>
                <w:sz w:val="19"/>
              </w:rPr>
              <w:t>No</w:t>
            </w:r>
          </w:p>
        </w:tc>
        <w:tc>
          <w:tcPr>
            <w:tcW w:type="dxa" w:w="2250"/>
            <w:shd w:fill="F5F5F5" w:color="auto" w:val="clear"/>
          </w:tcPr>
          <w:p>
            <w:r>
              <w:rPr>
                <w:rFonts w:ascii="Calibri" w:hAnsi="Calibri"/>
                <w:color w:val="333333"/>
                <w:sz w:val="19"/>
              </w:rPr>
              <w:t>No</w:t>
            </w:r>
          </w:p>
        </w:tc>
        <w:tc>
          <w:tcPr>
            <w:tcW w:type="dxa" w:w="2250"/>
            <w:shd w:fill="F5F5F5" w:color="auto" w:val="clear"/>
          </w:tcPr>
          <w:p>
            <w:r>
              <w:rPr>
                <w:rFonts w:ascii="Calibri" w:hAnsi="Calibri"/>
                <w:color w:val="333333"/>
                <w:sz w:val="19"/>
              </w:rPr>
              <w:t>Critical gap</w:t>
            </w:r>
          </w:p>
        </w:tc>
      </w:tr>
      <w:tr>
        <w:tc>
          <w:tcPr>
            <w:tcW w:type="dxa" w:w="2250"/>
          </w:tcPr>
          <w:p>
            <w:r>
              <w:rPr>
                <w:rFonts w:ascii="Calibri" w:hAnsi="Calibri"/>
                <w:color w:val="333333"/>
                <w:sz w:val="19"/>
              </w:rPr>
              <w:t>Patient video testimonials</w:t>
            </w:r>
          </w:p>
        </w:tc>
        <w:tc>
          <w:tcPr>
            <w:tcW w:type="dxa" w:w="2250"/>
          </w:tcPr>
          <w:p>
            <w:r>
              <w:rPr>
                <w:rFonts w:ascii="Calibri" w:hAnsi="Calibri"/>
                <w:color w:val="333333"/>
                <w:sz w:val="19"/>
              </w:rPr>
              <w:t>No</w:t>
            </w:r>
          </w:p>
        </w:tc>
        <w:tc>
          <w:tcPr>
            <w:tcW w:type="dxa" w:w="2250"/>
          </w:tcPr>
          <w:p>
            <w:r>
              <w:rPr>
                <w:rFonts w:ascii="Calibri" w:hAnsi="Calibri"/>
                <w:color w:val="333333"/>
                <w:sz w:val="19"/>
              </w:rPr>
              <w:t>No</w:t>
            </w:r>
          </w:p>
        </w:tc>
        <w:tc>
          <w:tcPr>
            <w:tcW w:type="dxa" w:w="2250"/>
          </w:tcPr>
          <w:p>
            <w:r>
              <w:rPr>
                <w:rFonts w:ascii="Calibri" w:hAnsi="Calibri"/>
                <w:color w:val="333333"/>
                <w:sz w:val="19"/>
              </w:rPr>
              <w:t>Critical gap</w:t>
            </w:r>
          </w:p>
        </w:tc>
      </w:tr>
      <w:tr>
        <w:tc>
          <w:tcPr>
            <w:tcW w:type="dxa" w:w="2250"/>
            <w:shd w:fill="F5F5F5" w:color="auto" w:val="clear"/>
          </w:tcPr>
          <w:p>
            <w:r>
              <w:rPr>
                <w:rFonts w:ascii="Calibri" w:hAnsi="Calibri"/>
                <w:color w:val="333333"/>
                <w:sz w:val="19"/>
              </w:rPr>
              <w:t>CareCredit badge</w:t>
            </w:r>
          </w:p>
        </w:tc>
        <w:tc>
          <w:tcPr>
            <w:tcW w:type="dxa" w:w="2250"/>
            <w:shd w:fill="F5F5F5" w:color="auto" w:val="clear"/>
          </w:tcPr>
          <w:p>
            <w:r>
              <w:rPr>
                <w:rFonts w:ascii="Calibri" w:hAnsi="Calibri"/>
                <w:color w:val="333333"/>
                <w:sz w:val="19"/>
              </w:rPr>
              <w:t>Registered provider</w:t>
            </w:r>
          </w:p>
        </w:tc>
        <w:tc>
          <w:tcPr>
            <w:tcW w:type="dxa" w:w="2250"/>
            <w:shd w:fill="F5F5F5" w:color="auto" w:val="clear"/>
          </w:tcPr>
          <w:p>
            <w:r>
              <w:rPr>
                <w:rFonts w:ascii="Calibri" w:hAnsi="Calibri"/>
                <w:color w:val="333333"/>
                <w:sz w:val="19"/>
              </w:rPr>
              <w:t>No</w:t>
            </w:r>
          </w:p>
        </w:tc>
        <w:tc>
          <w:tcPr>
            <w:tcW w:type="dxa" w:w="2250"/>
            <w:shd w:fill="F5F5F5" w:color="auto" w:val="clear"/>
          </w:tcPr>
          <w:p>
            <w:r>
              <w:rPr>
                <w:rFonts w:ascii="Calibri" w:hAnsi="Calibri"/>
                <w:color w:val="333333"/>
                <w:sz w:val="19"/>
              </w:rPr>
              <w:t>Should be on every implant page</w:t>
            </w:r>
          </w:p>
        </w:tc>
      </w:tr>
      <w:tr>
        <w:tc>
          <w:tcPr>
            <w:tcW w:type="dxa" w:w="2250"/>
          </w:tcPr>
          <w:p>
            <w:r>
              <w:rPr>
                <w:rFonts w:ascii="Calibri" w:hAnsi="Calibri"/>
                <w:color w:val="333333"/>
                <w:sz w:val="19"/>
              </w:rPr>
              <w:t>Implant training/CE credentials</w:t>
            </w:r>
          </w:p>
        </w:tc>
        <w:tc>
          <w:tcPr>
            <w:tcW w:type="dxa" w:w="2250"/>
          </w:tcPr>
          <w:p>
            <w:r>
              <w:rPr>
                <w:rFonts w:ascii="Calibri" w:hAnsi="Calibri"/>
                <w:color w:val="333333"/>
                <w:sz w:val="19"/>
              </w:rPr>
              <w:t>Not shown</w:t>
            </w:r>
          </w:p>
        </w:tc>
        <w:tc>
          <w:tcPr>
            <w:tcW w:type="dxa" w:w="2250"/>
          </w:tcPr>
          <w:p>
            <w:r>
              <w:rPr>
                <w:rFonts w:ascii="Calibri" w:hAnsi="Calibri"/>
                <w:color w:val="333333"/>
                <w:sz w:val="19"/>
              </w:rPr>
              <w:t>No</w:t>
            </w:r>
          </w:p>
        </w:tc>
        <w:tc>
          <w:tcPr>
            <w:tcW w:type="dxa" w:w="2250"/>
          </w:tcPr>
          <w:p>
            <w:r>
              <w:rPr>
                <w:rFonts w:ascii="Calibri" w:hAnsi="Calibri"/>
                <w:color w:val="333333"/>
                <w:sz w:val="19"/>
              </w:rPr>
              <w:t>Should be visible</w:t>
            </w:r>
          </w:p>
        </w:tc>
      </w:tr>
      <w:tr>
        <w:tc>
          <w:tcPr>
            <w:tcW w:type="dxa" w:w="2250"/>
            <w:shd w:fill="F5F5F5" w:color="auto" w:val="clear"/>
          </w:tcPr>
          <w:p>
            <w:r>
              <w:rPr>
                <w:rFonts w:ascii="Calibri" w:hAnsi="Calibri"/>
                <w:color w:val="333333"/>
                <w:sz w:val="19"/>
              </w:rPr>
              <w:t>Professional memberships (ADA, AGD, AAID)</w:t>
            </w:r>
          </w:p>
        </w:tc>
        <w:tc>
          <w:tcPr>
            <w:tcW w:type="dxa" w:w="2250"/>
            <w:shd w:fill="F5F5F5" w:color="auto" w:val="clear"/>
          </w:tcPr>
          <w:p>
            <w:r>
              <w:rPr>
                <w:rFonts w:ascii="Calibri" w:hAnsi="Calibri"/>
                <w:color w:val="333333"/>
                <w:sz w:val="19"/>
              </w:rPr>
              <w:t>Unknown</w:t>
            </w:r>
          </w:p>
        </w:tc>
        <w:tc>
          <w:tcPr>
            <w:tcW w:type="dxa" w:w="2250"/>
            <w:shd w:fill="F5F5F5" w:color="auto" w:val="clear"/>
          </w:tcPr>
          <w:p>
            <w:r>
              <w:rPr>
                <w:rFonts w:ascii="Calibri" w:hAnsi="Calibri"/>
                <w:color w:val="333333"/>
                <w:sz w:val="19"/>
              </w:rPr>
              <w:t>No</w:t>
            </w:r>
          </w:p>
        </w:tc>
        <w:tc>
          <w:tcPr>
            <w:tcW w:type="dxa" w:w="2250"/>
            <w:shd w:fill="F5F5F5" w:color="auto" w:val="clear"/>
          </w:tcPr>
          <w:p>
            <w:r>
              <w:rPr>
                <w:rFonts w:ascii="Calibri" w:hAnsi="Calibri"/>
                <w:color w:val="333333"/>
                <w:sz w:val="19"/>
              </w:rPr>
              <w:t>Should be researched and displayed</w:t>
            </w:r>
          </w:p>
        </w:tc>
      </w:tr>
      <w:tr>
        <w:tc>
          <w:tcPr>
            <w:tcW w:type="dxa" w:w="2250"/>
          </w:tcPr>
          <w:p>
            <w:r>
              <w:rPr>
                <w:rFonts w:ascii="Calibri" w:hAnsi="Calibri"/>
                <w:color w:val="333333"/>
                <w:sz w:val="19"/>
              </w:rPr>
              <w:t>Dr. Hedges' personal story</w:t>
            </w:r>
          </w:p>
        </w:tc>
        <w:tc>
          <w:tcPr>
            <w:tcW w:type="dxa" w:w="2250"/>
          </w:tcPr>
          <w:p>
            <w:r>
              <w:rPr>
                <w:rFonts w:ascii="Calibri" w:hAnsi="Calibri"/>
                <w:color w:val="333333"/>
                <w:sz w:val="19"/>
              </w:rPr>
              <w:t>Yes (about page)</w:t>
            </w:r>
          </w:p>
        </w:tc>
        <w:tc>
          <w:tcPr>
            <w:tcW w:type="dxa" w:w="2250"/>
          </w:tcPr>
          <w:p>
            <w:r>
              <w:rPr>
                <w:rFonts w:ascii="Calibri" w:hAnsi="Calibri"/>
                <w:color w:val="333333"/>
                <w:sz w:val="19"/>
              </w:rPr>
              <w:t>Yes</w:t>
            </w:r>
          </w:p>
        </w:tc>
        <w:tc>
          <w:tcPr>
            <w:tcW w:type="dxa" w:w="2250"/>
          </w:tcPr>
          <w:p>
            <w:r>
              <w:rPr>
                <w:rFonts w:ascii="Calibri" w:hAnsi="Calibri"/>
                <w:color w:val="333333"/>
                <w:sz w:val="19"/>
              </w:rPr>
              <w:t>Good content — underutilized</w:t>
            </w:r>
          </w:p>
        </w:tc>
      </w:tr>
      <w:tr>
        <w:tc>
          <w:tcPr>
            <w:tcW w:type="dxa" w:w="2250"/>
            <w:shd w:fill="F5F5F5" w:color="auto" w:val="clear"/>
          </w:tcPr>
          <w:p>
            <w:r>
              <w:rPr>
                <w:rFonts w:ascii="Calibri" w:hAnsi="Calibri"/>
                <w:color w:val="333333"/>
                <w:sz w:val="19"/>
              </w:rPr>
              <w:t>University of Louisville background</w:t>
            </w:r>
          </w:p>
        </w:tc>
        <w:tc>
          <w:tcPr>
            <w:tcW w:type="dxa" w:w="2250"/>
            <w:shd w:fill="F5F5F5" w:color="auto" w:val="clear"/>
          </w:tcPr>
          <w:p>
            <w:r>
              <w:rPr>
                <w:rFonts w:ascii="Calibri" w:hAnsi="Calibri"/>
                <w:color w:val="333333"/>
                <w:sz w:val="19"/>
              </w:rPr>
              <w:t>Yes</w:t>
            </w:r>
          </w:p>
        </w:tc>
        <w:tc>
          <w:tcPr>
            <w:tcW w:type="dxa" w:w="2250"/>
            <w:shd w:fill="F5F5F5" w:color="auto" w:val="clear"/>
          </w:tcPr>
          <w:p>
            <w:r>
              <w:rPr>
                <w:rFonts w:ascii="Calibri" w:hAnsi="Calibri"/>
                <w:color w:val="333333"/>
                <w:sz w:val="19"/>
              </w:rPr>
              <w:t>Yes</w:t>
            </w:r>
          </w:p>
        </w:tc>
        <w:tc>
          <w:tcPr>
            <w:tcW w:type="dxa" w:w="2250"/>
            <w:shd w:fill="F5F5F5" w:color="auto" w:val="clear"/>
          </w:tcPr>
          <w:p>
            <w:r>
              <w:rPr>
                <w:rFonts w:ascii="Calibri" w:hAnsi="Calibri"/>
                <w:color w:val="333333"/>
                <w:sz w:val="19"/>
              </w:rPr>
              <w:t>Locally relevant trust signal</w:t>
            </w:r>
          </w:p>
        </w:tc>
      </w:tr>
    </w:tbl>
    <w:p/>
    <w:p>
      <w:pPr>
        <w:spacing w:before="0" w:after="60"/>
      </w:pPr>
    </w:p>
    <w:p>
      <w:pPr>
        <w:spacing w:before="0" w:after="60" w:line="288" w:lineRule="auto"/>
      </w:pPr>
      <w:r>
        <w:rPr>
          <w:rFonts w:ascii="Calibri" w:hAnsi="Calibri"/>
          <w:b/>
          <w:color w:val="58585A"/>
          <w:sz w:val="20"/>
        </w:rPr>
        <w:t>The personal story as a trust asset:</w:t>
      </w:r>
    </w:p>
    <w:p>
      <w:pPr>
        <w:spacing w:before="0" w:after="120" w:line="336" w:lineRule="auto"/>
      </w:pPr>
      <w:r>
        <w:rPr>
          <w:rFonts w:ascii="Georgia" w:hAnsi="Georgia"/>
          <w:color w:val="333333"/>
          <w:sz w:val="22"/>
        </w:rPr>
        <w:t>Dr. Hedges' background is unexpectedly compelling for a dental practice: UofL quarterback, former teacher, Louisville-born, first private practice. This is a human story that patients respond to — especially in a market where ClearChoice is a faceless corporate brand and oral surgery specialists project clinical distance. The "local guy who went to UofL and came back to serve his community" narrative is exactly the trust architecture that converts implant-curious patients into patients who feel safe saying yes.</w:t>
      </w:r>
    </w:p>
    <w:p>
      <w:pPr>
        <w:spacing w:before="0" w:after="60"/>
      </w:pPr>
    </w:p>
    <w:p>
      <w:pPr>
        <w:spacing w:before="0" w:after="120" w:line="336" w:lineRule="auto"/>
      </w:pPr>
      <w:r>
        <w:rPr>
          <w:rFonts w:ascii="Georgia" w:hAnsi="Georgia"/>
          <w:color w:val="333333"/>
          <w:sz w:val="22"/>
        </w:rPr>
        <w:t>This story exists on the about page. It is not front-loaded on either site. It is not used in content. It is not on the implant pages where trust matters most.</w:t>
      </w:r>
    </w:p>
    <w:p>
      <w:pPr>
        <w:spacing w:before="0" w:after="60"/>
      </w:pPr>
    </w:p>
    <w:p>
      <w:pPr>
        <w:spacing w:before="0" w:after="60" w:line="288" w:lineRule="auto"/>
      </w:pPr>
      <w:r>
        <w:rPr>
          <w:rFonts w:ascii="Calibri" w:hAnsi="Calibri"/>
          <w:b/>
          <w:color w:val="58585A"/>
          <w:sz w:val="20"/>
        </w:rPr>
        <w:t>Brand identity gap:</w:t>
      </w:r>
    </w:p>
    <w:p>
      <w:pPr>
        <w:spacing w:before="0" w:after="120" w:line="336" w:lineRule="auto"/>
      </w:pPr>
      <w:r>
        <w:rPr>
          <w:rFonts w:ascii="Georgia" w:hAnsi="Georgia"/>
          <w:color w:val="333333"/>
          <w:sz w:val="22"/>
        </w:rPr>
        <w:t>There is no visual brand differentiation between hedgesdental.com and toplouisvilledentist.com other than the domain name. Neither site has a distinctive visual identity that signals "implant specialist" rather than "general dentist." The rebuild of both sites needs a visual identity that positions Dr. Hedges at the premium-but-accessible end of implant dentistry — authoritative without being clinical and cold.</w:t>
      </w:r>
    </w:p>
    <w:p>
      <w:pPr>
        <w:spacing w:before="0" w:after="60"/>
      </w:pPr>
    </w:p>
    <w:p>
      <w:pPr>
        <w:spacing w:before="80" w:after="80"/>
        <w:pBdr>
          <w:bottom w:val="single" w:sz="6" w:space="1" w:color="25aae1"/>
        </w:pBdr>
      </w:pPr>
    </w:p>
    <w:p>
      <w:pPr>
        <w:spacing w:before="0" w:after="60"/>
      </w:pPr>
    </w:p>
    <w:p>
      <w:pPr>
        <w:spacing w:before="320" w:after="120"/>
        <w:pBdr>
          <w:bottom w:val="single" w:sz="4" w:space="1" w:color="CCCCCC"/>
        </w:pBdr>
      </w:pPr>
      <w:r>
        <w:rPr>
          <w:rFonts w:ascii="Calibri" w:hAnsi="Calibri"/>
          <w:b/>
          <w:color w:val="58585A"/>
          <w:sz w:val="26"/>
        </w:rPr>
        <w:t>Growth &amp; Strategy Analysis</w:t>
      </w:r>
    </w:p>
    <w:p>
      <w:pPr>
        <w:spacing w:before="240" w:after="80"/>
      </w:pPr>
      <w:r>
        <w:rPr>
          <w:rFonts w:ascii="Calibri" w:hAnsi="Calibri"/>
          <w:b/>
          <w:color w:val="58585A"/>
          <w:sz w:val="24"/>
        </w:rPr>
        <w:t>Score: 22/100</w:t>
      </w:r>
    </w:p>
    <w:p>
      <w:pPr>
        <w:spacing w:before="80" w:after="40"/>
        <w:ind w:left="360"/>
      </w:pPr>
      <w:r>
        <w:rPr>
          <w:rFonts w:ascii="Calibri" w:hAnsi="Calibri"/>
          <w:i/>
          <w:color w:val="58585A"/>
          <w:sz w:val="20"/>
        </w:rPr>
        <w:t>Analysis: Clay Donovan, Brand &amp; Growth Strategy Specialist</w:t>
      </w:r>
    </w:p>
    <w:p>
      <w:pPr>
        <w:spacing w:before="0" w:after="60"/>
      </w:pPr>
    </w:p>
    <w:p>
      <w:pPr>
        <w:spacing w:before="0" w:after="60" w:line="288" w:lineRule="auto"/>
      </w:pPr>
      <w:r>
        <w:rPr>
          <w:rFonts w:ascii="Calibri" w:hAnsi="Calibri"/>
          <w:b/>
          <w:color w:val="58585A"/>
          <w:sz w:val="20"/>
        </w:rPr>
        <w:t>What the current strategy signals:</w:t>
      </w:r>
    </w:p>
    <w:p>
      <w:pPr>
        <w:spacing w:before="0" w:after="120" w:line="336" w:lineRule="auto"/>
      </w:pPr>
      <w:r>
        <w:rPr>
          <w:rFonts w:ascii="Georgia" w:hAnsi="Georgia"/>
          <w:color w:val="333333"/>
          <w:sz w:val="22"/>
        </w:rPr>
        <w:t>The two-domain approach (hedgesdental.com + toplouisvilledentist.com) is a strategically sound instinct. It shows Dr. Hedges (or his web team) understands that implant patients are a different audience with different search behavior than general dentistry patients. That insight is more sophisticated than most general dentists attempting the implant transition demonstrate. The problem is that the execution has not caught up to the strategy.</w:t>
      </w:r>
    </w:p>
    <w:p>
      <w:pPr>
        <w:spacing w:before="0" w:after="60"/>
      </w:pPr>
    </w:p>
    <w:p>
      <w:pPr>
        <w:spacing w:before="0" w:after="60" w:line="288" w:lineRule="auto"/>
      </w:pPr>
      <w:r>
        <w:rPr>
          <w:rFonts w:ascii="Calibri" w:hAnsi="Calibri"/>
          <w:b/>
          <w:color w:val="58585A"/>
          <w:sz w:val="20"/>
        </w:rPr>
        <w:t>The case acceptance gap:</w:t>
      </w:r>
    </w:p>
    <w:p>
      <w:pPr>
        <w:spacing w:before="0" w:after="120" w:line="336" w:lineRule="auto"/>
      </w:pPr>
      <w:r>
        <w:rPr>
          <w:rFonts w:ascii="Georgia" w:hAnsi="Georgia"/>
          <w:color w:val="333333"/>
          <w:sz w:val="22"/>
        </w:rPr>
        <w:t>Based on publicly available information, the practice appears to be using the standard dental appointment-booking model: patient calls, front desk books, patient comes in, Dr. Hedges does a consultation, patient is presented with treatment options and cost, patient says "let me think about it," and leaves. This is the default dental case acceptance cycle — and for implants, it is broken. The "let me think about it" response, when the patient has not been pre-educated about cost, process, and outcomes, has a 60–70% non-return rate.</w:t>
      </w:r>
    </w:p>
    <w:p>
      <w:pPr>
        <w:spacing w:before="0" w:after="60"/>
      </w:pPr>
    </w:p>
    <w:p>
      <w:pPr>
        <w:spacing w:before="0" w:after="120" w:line="336" w:lineRule="auto"/>
      </w:pPr>
      <w:r>
        <w:rPr>
          <w:rFonts w:ascii="Georgia" w:hAnsi="Georgia"/>
          <w:color w:val="333333"/>
          <w:sz w:val="22"/>
        </w:rPr>
        <w:t>The growth strategy must move patient education upstream — before the consultation, not during it. When a patient books a consultation having already watched three YouTube videos from Dr. Hedges, read a patient transformation story on the website, and received an email explaining the financing options, the consultation converts at dramatically higher rates. The content and nurture infrastructure in Recommendations SR-1 and LTI-2 address this directly.</w:t>
      </w:r>
    </w:p>
    <w:p>
      <w:pPr>
        <w:spacing w:before="0" w:after="60"/>
      </w:pPr>
    </w:p>
    <w:p>
      <w:pPr>
        <w:spacing w:before="0" w:after="60" w:line="288" w:lineRule="auto"/>
      </w:pPr>
      <w:r>
        <w:rPr>
          <w:rFonts w:ascii="Calibri" w:hAnsi="Calibri"/>
          <w:b/>
          <w:color w:val="58585A"/>
          <w:sz w:val="20"/>
        </w:rPr>
        <w:t>Revenue growth model:</w:t>
      </w:r>
    </w:p>
    <w:p>
      <w:pPr>
        <w:spacing w:before="0" w:after="120" w:line="336" w:lineRule="auto"/>
      </w:pPr>
      <w:r>
        <w:rPr>
          <w:rFonts w:ascii="Georgia" w:hAnsi="Georgia"/>
          <w:color w:val="333333"/>
          <w:sz w:val="22"/>
        </w:rPr>
        <w:t>The path from current to target implant case volume is achievable in 12 months with the following milestones:</w:t>
      </w:r>
    </w:p>
    <w:p>
      <w:pPr>
        <w:spacing w:before="0" w:after="60"/>
      </w:pPr>
    </w:p>
    <w:tbl>
      <w:tblPr>
        <w:tblStyle w:val="TableGrid"/>
        <w:tblW w:type="auto" w:w="0"/>
        <w:tblLook w:firstColumn="1" w:firstRow="1" w:lastColumn="0" w:lastRow="0" w:noHBand="0" w:noVBand="1" w:val="04A0"/>
      </w:tblPr>
      <w:tblGrid>
        <w:gridCol w:w="2250"/>
        <w:gridCol w:w="2250"/>
        <w:gridCol w:w="2250"/>
        <w:gridCol w:w="2250"/>
      </w:tblGrid>
      <w:tr>
        <w:tc>
          <w:tcPr>
            <w:tcW w:type="dxa" w:w="2250"/>
            <w:shd w:fill="25aae1" w:color="auto" w:val="clear"/>
          </w:tcPr>
          <w:p>
            <w:pPr>
              <w:jc w:val="center"/>
            </w:pPr>
            <w:r>
              <w:rPr>
                <w:rFonts w:ascii="Calibri" w:hAnsi="Calibri"/>
                <w:b/>
                <w:color w:val="FFFFFF"/>
                <w:sz w:val="19"/>
              </w:rPr>
              <w:t>Milestone</w:t>
            </w:r>
          </w:p>
        </w:tc>
        <w:tc>
          <w:tcPr>
            <w:tcW w:type="dxa" w:w="2250"/>
            <w:shd w:fill="25aae1" w:color="auto" w:val="clear"/>
          </w:tcPr>
          <w:p>
            <w:pPr>
              <w:jc w:val="center"/>
            </w:pPr>
            <w:r>
              <w:rPr>
                <w:rFonts w:ascii="Calibri" w:hAnsi="Calibri"/>
                <w:b/>
                <w:color w:val="FFFFFF"/>
                <w:sz w:val="19"/>
              </w:rPr>
              <w:t>Timeline</w:t>
            </w:r>
          </w:p>
        </w:tc>
        <w:tc>
          <w:tcPr>
            <w:tcW w:type="dxa" w:w="2250"/>
            <w:shd w:fill="25aae1" w:color="auto" w:val="clear"/>
          </w:tcPr>
          <w:p>
            <w:pPr>
              <w:jc w:val="center"/>
            </w:pPr>
            <w:r>
              <w:rPr>
                <w:rFonts w:ascii="Calibri" w:hAnsi="Calibri"/>
                <w:b/>
                <w:color w:val="FFFFFF"/>
                <w:sz w:val="19"/>
              </w:rPr>
              <w:t>Case Volume Target</w:t>
            </w:r>
          </w:p>
        </w:tc>
        <w:tc>
          <w:tcPr>
            <w:tcW w:type="dxa" w:w="2250"/>
            <w:shd w:fill="25aae1" w:color="auto" w:val="clear"/>
          </w:tcPr>
          <w:p>
            <w:pPr>
              <w:jc w:val="center"/>
            </w:pPr>
            <w:r>
              <w:rPr>
                <w:rFonts w:ascii="Calibri" w:hAnsi="Calibri"/>
                <w:b/>
                <w:color w:val="FFFFFF"/>
                <w:sz w:val="19"/>
              </w:rPr>
              <w:t>Monthly Revenue Impact</w:t>
            </w:r>
          </w:p>
        </w:tc>
      </w:tr>
      <w:tr>
        <w:tc>
          <w:tcPr>
            <w:tcW w:type="dxa" w:w="2250"/>
          </w:tcPr>
          <w:p>
            <w:r>
              <w:rPr>
                <w:rFonts w:ascii="Calibri" w:hAnsi="Calibri"/>
                <w:color w:val="333333"/>
                <w:sz w:val="19"/>
              </w:rPr>
              <w:t>Dormant patient reactivation</w:t>
            </w:r>
          </w:p>
        </w:tc>
        <w:tc>
          <w:tcPr>
            <w:tcW w:type="dxa" w:w="2250"/>
          </w:tcPr>
          <w:p>
            <w:r>
              <w:rPr>
                <w:rFonts w:ascii="Calibri" w:hAnsi="Calibri"/>
                <w:color w:val="333333"/>
                <w:sz w:val="19"/>
              </w:rPr>
              <w:t>Month 1</w:t>
            </w:r>
          </w:p>
        </w:tc>
        <w:tc>
          <w:tcPr>
            <w:tcW w:type="dxa" w:w="2250"/>
          </w:tcPr>
          <w:p>
            <w:r>
              <w:rPr>
                <w:rFonts w:ascii="Calibri" w:hAnsi="Calibri"/>
                <w:color w:val="333333"/>
                <w:sz w:val="19"/>
              </w:rPr>
              <w:t>+1–2 cases</w:t>
            </w:r>
          </w:p>
        </w:tc>
        <w:tc>
          <w:tcPr>
            <w:tcW w:type="dxa" w:w="2250"/>
          </w:tcPr>
          <w:p>
            <w:r>
              <w:rPr>
                <w:rFonts w:ascii="Calibri" w:hAnsi="Calibri"/>
                <w:color w:val="333333"/>
                <w:sz w:val="19"/>
              </w:rPr>
              <w:t>+$7,500–$15,000</w:t>
            </w:r>
          </w:p>
        </w:tc>
      </w:tr>
      <w:tr>
        <w:tc>
          <w:tcPr>
            <w:tcW w:type="dxa" w:w="2250"/>
            <w:shd w:fill="F5F5F5" w:color="auto" w:val="clear"/>
          </w:tcPr>
          <w:p>
            <w:r>
              <w:rPr>
                <w:rFonts w:ascii="Calibri" w:hAnsi="Calibri"/>
                <w:color w:val="333333"/>
                <w:sz w:val="19"/>
              </w:rPr>
              <w:t>GBP optimization + review strategy</w:t>
            </w:r>
          </w:p>
        </w:tc>
        <w:tc>
          <w:tcPr>
            <w:tcW w:type="dxa" w:w="2250"/>
            <w:shd w:fill="F5F5F5" w:color="auto" w:val="clear"/>
          </w:tcPr>
          <w:p>
            <w:r>
              <w:rPr>
                <w:rFonts w:ascii="Calibri" w:hAnsi="Calibri"/>
                <w:color w:val="333333"/>
                <w:sz w:val="19"/>
              </w:rPr>
              <w:t>Month 1–2</w:t>
            </w:r>
          </w:p>
        </w:tc>
        <w:tc>
          <w:tcPr>
            <w:tcW w:type="dxa" w:w="2250"/>
            <w:shd w:fill="F5F5F5" w:color="auto" w:val="clear"/>
          </w:tcPr>
          <w:p>
            <w:r>
              <w:rPr>
                <w:rFonts w:ascii="Calibri" w:hAnsi="Calibri"/>
                <w:color w:val="333333"/>
                <w:sz w:val="19"/>
              </w:rPr>
              <w:t>+1–2 cases from organic search</w:t>
            </w:r>
          </w:p>
        </w:tc>
        <w:tc>
          <w:tcPr>
            <w:tcW w:type="dxa" w:w="2250"/>
            <w:shd w:fill="F5F5F5" w:color="auto" w:val="clear"/>
          </w:tcPr>
          <w:p>
            <w:r>
              <w:rPr>
                <w:rFonts w:ascii="Calibri" w:hAnsi="Calibri"/>
                <w:color w:val="333333"/>
                <w:sz w:val="19"/>
              </w:rPr>
              <w:t>+$7,500–$15,000</w:t>
            </w:r>
          </w:p>
        </w:tc>
      </w:tr>
      <w:tr>
        <w:tc>
          <w:tcPr>
            <w:tcW w:type="dxa" w:w="2250"/>
          </w:tcPr>
          <w:p>
            <w:r>
              <w:rPr>
                <w:rFonts w:ascii="Calibri" w:hAnsi="Calibri"/>
                <w:color w:val="333333"/>
                <w:sz w:val="19"/>
              </w:rPr>
              <w:t>toplouisvilledentist.com rebuild complete</w:t>
            </w:r>
          </w:p>
        </w:tc>
        <w:tc>
          <w:tcPr>
            <w:tcW w:type="dxa" w:w="2250"/>
          </w:tcPr>
          <w:p>
            <w:r>
              <w:rPr>
                <w:rFonts w:ascii="Calibri" w:hAnsi="Calibri"/>
                <w:color w:val="333333"/>
                <w:sz w:val="19"/>
              </w:rPr>
              <w:t>Month 2</w:t>
            </w:r>
          </w:p>
        </w:tc>
        <w:tc>
          <w:tcPr>
            <w:tcW w:type="dxa" w:w="2250"/>
          </w:tcPr>
          <w:p>
            <w:r>
              <w:rPr>
                <w:rFonts w:ascii="Calibri" w:hAnsi="Calibri"/>
                <w:color w:val="333333"/>
                <w:sz w:val="19"/>
              </w:rPr>
              <w:t>+2–3 cases from site traffic</w:t>
            </w:r>
          </w:p>
        </w:tc>
        <w:tc>
          <w:tcPr>
            <w:tcW w:type="dxa" w:w="2250"/>
          </w:tcPr>
          <w:p>
            <w:r>
              <w:rPr>
                <w:rFonts w:ascii="Calibri" w:hAnsi="Calibri"/>
                <w:color w:val="333333"/>
                <w:sz w:val="19"/>
              </w:rPr>
              <w:t>+$15,000–$22,500</w:t>
            </w:r>
          </w:p>
        </w:tc>
      </w:tr>
      <w:tr>
        <w:tc>
          <w:tcPr>
            <w:tcW w:type="dxa" w:w="2250"/>
            <w:shd w:fill="F5F5F5" w:color="auto" w:val="clear"/>
          </w:tcPr>
          <w:p>
            <w:r>
              <w:rPr>
                <w:rFonts w:ascii="Calibri" w:hAnsi="Calibri"/>
                <w:color w:val="333333"/>
                <w:sz w:val="19"/>
              </w:rPr>
              <w:t>Nelson &amp; Lowy referral partnership active</w:t>
            </w:r>
          </w:p>
        </w:tc>
        <w:tc>
          <w:tcPr>
            <w:tcW w:type="dxa" w:w="2250"/>
            <w:shd w:fill="F5F5F5" w:color="auto" w:val="clear"/>
          </w:tcPr>
          <w:p>
            <w:r>
              <w:rPr>
                <w:rFonts w:ascii="Calibri" w:hAnsi="Calibri"/>
                <w:color w:val="333333"/>
                <w:sz w:val="19"/>
              </w:rPr>
              <w:t>Month 3</w:t>
            </w:r>
          </w:p>
        </w:tc>
        <w:tc>
          <w:tcPr>
            <w:tcW w:type="dxa" w:w="2250"/>
            <w:shd w:fill="F5F5F5" w:color="auto" w:val="clear"/>
          </w:tcPr>
          <w:p>
            <w:r>
              <w:rPr>
                <w:rFonts w:ascii="Calibri" w:hAnsi="Calibri"/>
                <w:color w:val="333333"/>
                <w:sz w:val="19"/>
              </w:rPr>
              <w:t>+2–4 cases/month</w:t>
            </w:r>
          </w:p>
        </w:tc>
        <w:tc>
          <w:tcPr>
            <w:tcW w:type="dxa" w:w="2250"/>
            <w:shd w:fill="F5F5F5" w:color="auto" w:val="clear"/>
          </w:tcPr>
          <w:p>
            <w:r>
              <w:rPr>
                <w:rFonts w:ascii="Calibri" w:hAnsi="Calibri"/>
                <w:color w:val="333333"/>
                <w:sz w:val="19"/>
              </w:rPr>
              <w:t>+$15,000–$30,000</w:t>
            </w:r>
          </w:p>
        </w:tc>
      </w:tr>
      <w:tr>
        <w:tc>
          <w:tcPr>
            <w:tcW w:type="dxa" w:w="2250"/>
          </w:tcPr>
          <w:p>
            <w:r>
              <w:rPr>
                <w:rFonts w:ascii="Calibri" w:hAnsi="Calibri"/>
                <w:color w:val="333333"/>
                <w:sz w:val="19"/>
              </w:rPr>
              <w:t>YouTube channel (first 6 videos live)</w:t>
            </w:r>
          </w:p>
        </w:tc>
        <w:tc>
          <w:tcPr>
            <w:tcW w:type="dxa" w:w="2250"/>
          </w:tcPr>
          <w:p>
            <w:r>
              <w:rPr>
                <w:rFonts w:ascii="Calibri" w:hAnsi="Calibri"/>
                <w:color w:val="333333"/>
                <w:sz w:val="19"/>
              </w:rPr>
              <w:t>Month 3–4</w:t>
            </w:r>
          </w:p>
        </w:tc>
        <w:tc>
          <w:tcPr>
            <w:tcW w:type="dxa" w:w="2250"/>
          </w:tcPr>
          <w:p>
            <w:r>
              <w:rPr>
                <w:rFonts w:ascii="Calibri" w:hAnsi="Calibri"/>
                <w:color w:val="333333"/>
                <w:sz w:val="19"/>
              </w:rPr>
              <w:t>+1–2 additional cases</w:t>
            </w:r>
          </w:p>
        </w:tc>
        <w:tc>
          <w:tcPr>
            <w:tcW w:type="dxa" w:w="2250"/>
          </w:tcPr>
          <w:p>
            <w:r>
              <w:rPr>
                <w:rFonts w:ascii="Calibri" w:hAnsi="Calibri"/>
                <w:color w:val="333333"/>
                <w:sz w:val="19"/>
              </w:rPr>
              <w:t>+$7,500–$15,000</w:t>
            </w:r>
          </w:p>
        </w:tc>
      </w:tr>
      <w:tr>
        <w:tc>
          <w:tcPr>
            <w:tcW w:type="dxa" w:w="2250"/>
            <w:shd w:fill="F5F5F5" w:color="auto" w:val="clear"/>
          </w:tcPr>
          <w:p>
            <w:r>
              <w:rPr>
                <w:rFonts w:ascii="Calibri" w:hAnsi="Calibri"/>
                <w:color w:val="333333"/>
                <w:sz w:val="19"/>
              </w:rPr>
              <w:t>Email nurture system live</w:t>
            </w:r>
          </w:p>
        </w:tc>
        <w:tc>
          <w:tcPr>
            <w:tcW w:type="dxa" w:w="2250"/>
            <w:shd w:fill="F5F5F5" w:color="auto" w:val="clear"/>
          </w:tcPr>
          <w:p>
            <w:r>
              <w:rPr>
                <w:rFonts w:ascii="Calibri" w:hAnsi="Calibri"/>
                <w:color w:val="333333"/>
                <w:sz w:val="19"/>
              </w:rPr>
              <w:t>Month 4</w:t>
            </w:r>
          </w:p>
        </w:tc>
        <w:tc>
          <w:tcPr>
            <w:tcW w:type="dxa" w:w="2250"/>
            <w:shd w:fill="F5F5F5" w:color="auto" w:val="clear"/>
          </w:tcPr>
          <w:p>
            <w:r>
              <w:rPr>
                <w:rFonts w:ascii="Calibri" w:hAnsi="Calibri"/>
                <w:color w:val="333333"/>
                <w:sz w:val="19"/>
              </w:rPr>
              <w:t>+1–2 cases from nurture conversion</w:t>
            </w:r>
          </w:p>
        </w:tc>
        <w:tc>
          <w:tcPr>
            <w:tcW w:type="dxa" w:w="2250"/>
            <w:shd w:fill="F5F5F5" w:color="auto" w:val="clear"/>
          </w:tcPr>
          <w:p>
            <w:r>
              <w:rPr>
                <w:rFonts w:ascii="Calibri" w:hAnsi="Calibri"/>
                <w:color w:val="333333"/>
                <w:sz w:val="19"/>
              </w:rPr>
              <w:t>+$7,500–$15,000</w:t>
            </w:r>
          </w:p>
        </w:tc>
      </w:tr>
    </w:tbl>
    <w:p/>
    <w:p>
      <w:pPr>
        <w:spacing w:before="0" w:after="60"/>
      </w:pPr>
    </w:p>
    <w:p>
      <w:pPr>
        <w:spacing w:before="0" w:after="60" w:line="288" w:lineRule="auto"/>
      </w:pPr>
      <w:r>
        <w:rPr>
          <w:rFonts w:ascii="Calibri" w:hAnsi="Calibri"/>
          <w:b/>
          <w:color w:val="58585A"/>
          <w:sz w:val="20"/>
        </w:rPr>
        <w:t>Growth architecture principle:</w:t>
      </w:r>
      <w:r>
        <w:rPr>
          <w:rFonts w:ascii="Calibri" w:hAnsi="Calibri"/>
          <w:color w:val="58585A"/>
          <w:sz w:val="20"/>
        </w:rPr>
        <w:t xml:space="preserve"> The first 90 days are about activating existing assets — the dormant patient list, the community trust, the Nextdoor presence, the GBP — at zero or near-zero cost. The subsequent 90 days are about building the content infrastructure that compounds over time. Paid media (Google Ads, Meta) comes after the foundation is built — not before.</w:t>
      </w:r>
    </w:p>
    <w:p>
      <w:pPr>
        <w:spacing w:before="0" w:after="60"/>
      </w:pPr>
    </w:p>
    <w:p>
      <w:pPr>
        <w:spacing w:before="80" w:after="80"/>
        <w:pBdr>
          <w:bottom w:val="single" w:sz="6" w:space="1" w:color="25aae1"/>
        </w:pBdr>
      </w:pPr>
    </w:p>
    <w:p>
      <w:pPr>
        <w:spacing w:before="0" w:after="60"/>
      </w:pPr>
    </w:p>
    <w:p>
      <w:r>
        <w:br w:type="page"/>
      </w:r>
    </w:p>
    <w:p>
      <w:pPr>
        <w:spacing w:before="0" w:after="160"/>
        <w:pBdr>
          <w:bottom w:val="single" w:sz="8" w:space="1" w:color="25aae1"/>
        </w:pBdr>
      </w:pPr>
      <w:r>
        <w:rPr>
          <w:rFonts w:ascii="Calibri" w:hAnsi="Calibri"/>
          <w:b/>
          <w:color w:val="25AAE1"/>
          <w:sz w:val="40"/>
        </w:rPr>
        <w:t>Competitor Comparison</w:t>
      </w:r>
    </w:p>
    <w:p>
      <w:pPr>
        <w:spacing w:before="0" w:after="60"/>
      </w:pP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shd w:fill="25aae1" w:color="auto" w:val="clear"/>
          </w:tcPr>
          <w:p>
            <w:pPr>
              <w:jc w:val="center"/>
            </w:pPr>
            <w:r>
              <w:rPr>
                <w:rFonts w:ascii="Calibri" w:hAnsi="Calibri"/>
                <w:b/>
                <w:color w:val="FFFFFF"/>
                <w:sz w:val="19"/>
              </w:rPr>
              <w:t>Factor</w:t>
            </w:r>
          </w:p>
        </w:tc>
        <w:tc>
          <w:tcPr>
            <w:tcW w:type="dxa" w:w="1800"/>
            <w:shd w:fill="25aae1" w:color="auto" w:val="clear"/>
          </w:tcPr>
          <w:p>
            <w:pPr>
              <w:jc w:val="center"/>
            </w:pPr>
            <w:r>
              <w:rPr>
                <w:rFonts w:ascii="Calibri" w:hAnsi="Calibri"/>
                <w:b/>
                <w:color w:val="FFFFFF"/>
                <w:sz w:val="19"/>
              </w:rPr>
              <w:t>Hedges Dental</w:t>
            </w:r>
          </w:p>
        </w:tc>
        <w:tc>
          <w:tcPr>
            <w:tcW w:type="dxa" w:w="1800"/>
            <w:shd w:fill="25aae1" w:color="auto" w:val="clear"/>
          </w:tcPr>
          <w:p>
            <w:pPr>
              <w:jc w:val="center"/>
            </w:pPr>
            <w:r>
              <w:rPr>
                <w:rFonts w:ascii="Calibri" w:hAnsi="Calibri"/>
                <w:b/>
                <w:color w:val="FFFFFF"/>
                <w:sz w:val="19"/>
              </w:rPr>
              <w:t>ClearChoice (40222)</w:t>
            </w:r>
          </w:p>
        </w:tc>
        <w:tc>
          <w:tcPr>
            <w:tcW w:type="dxa" w:w="1800"/>
            <w:shd w:fill="25aae1" w:color="auto" w:val="clear"/>
          </w:tcPr>
          <w:p>
            <w:pPr>
              <w:jc w:val="center"/>
            </w:pPr>
            <w:r>
              <w:rPr>
                <w:rFonts w:ascii="Calibri" w:hAnsi="Calibri"/>
                <w:b/>
                <w:color w:val="FFFFFF"/>
                <w:sz w:val="19"/>
              </w:rPr>
              <w:t>Innovative Oral Surgery</w:t>
            </w:r>
          </w:p>
        </w:tc>
        <w:tc>
          <w:tcPr>
            <w:tcW w:type="dxa" w:w="1800"/>
            <w:shd w:fill="25aae1" w:color="auto" w:val="clear"/>
          </w:tcPr>
          <w:p>
            <w:pPr>
              <w:jc w:val="center"/>
            </w:pPr>
            <w:r>
              <w:rPr>
                <w:rFonts w:ascii="Calibri" w:hAnsi="Calibri"/>
                <w:b/>
                <w:color w:val="FFFFFF"/>
                <w:sz w:val="19"/>
              </w:rPr>
              <w:t>Nelson &amp; Lowy</w:t>
            </w:r>
          </w:p>
        </w:tc>
      </w:tr>
      <w:tr>
        <w:tc>
          <w:tcPr>
            <w:tcW w:type="dxa" w:w="1800"/>
          </w:tcPr>
          <w:p>
            <w:r>
              <w:rPr>
                <w:rFonts w:ascii="Calibri" w:hAnsi="Calibri"/>
                <w:color w:val="333333"/>
                <w:sz w:val="19"/>
              </w:rPr>
              <w:t>Headline Clarity</w:t>
            </w:r>
          </w:p>
        </w:tc>
        <w:tc>
          <w:tcPr>
            <w:tcW w:type="dxa" w:w="1800"/>
          </w:tcPr>
          <w:p>
            <w:r>
              <w:rPr>
                <w:rFonts w:ascii="Calibri" w:hAnsi="Calibri"/>
                <w:color w:val="333333"/>
                <w:sz w:val="19"/>
              </w:rPr>
              <w:t>2/10</w:t>
            </w:r>
          </w:p>
        </w:tc>
        <w:tc>
          <w:tcPr>
            <w:tcW w:type="dxa" w:w="1800"/>
          </w:tcPr>
          <w:p>
            <w:r>
              <w:rPr>
                <w:rFonts w:ascii="Calibri" w:hAnsi="Calibri"/>
                <w:color w:val="333333"/>
                <w:sz w:val="19"/>
              </w:rPr>
              <w:t>8/10</w:t>
            </w:r>
          </w:p>
        </w:tc>
        <w:tc>
          <w:tcPr>
            <w:tcW w:type="dxa" w:w="1800"/>
          </w:tcPr>
          <w:p>
            <w:r>
              <w:rPr>
                <w:rFonts w:ascii="Calibri" w:hAnsi="Calibri"/>
                <w:color w:val="333333"/>
                <w:sz w:val="19"/>
              </w:rPr>
              <w:t>8/10</w:t>
            </w:r>
          </w:p>
        </w:tc>
        <w:tc>
          <w:tcPr>
            <w:tcW w:type="dxa" w:w="1800"/>
          </w:tcPr>
          <w:p>
            <w:r>
              <w:rPr>
                <w:rFonts w:ascii="Calibri" w:hAnsi="Calibri"/>
                <w:color w:val="333333"/>
                <w:sz w:val="19"/>
              </w:rPr>
              <w:t>6/10</w:t>
            </w:r>
          </w:p>
        </w:tc>
      </w:tr>
      <w:tr>
        <w:tc>
          <w:tcPr>
            <w:tcW w:type="dxa" w:w="1800"/>
            <w:shd w:fill="F5F5F5" w:color="auto" w:val="clear"/>
          </w:tcPr>
          <w:p>
            <w:r>
              <w:rPr>
                <w:rFonts w:ascii="Calibri" w:hAnsi="Calibri"/>
                <w:color w:val="333333"/>
                <w:sz w:val="19"/>
              </w:rPr>
              <w:t>Implant Value Prop</w:t>
            </w:r>
          </w:p>
        </w:tc>
        <w:tc>
          <w:tcPr>
            <w:tcW w:type="dxa" w:w="1800"/>
            <w:shd w:fill="F5F5F5" w:color="auto" w:val="clear"/>
          </w:tcPr>
          <w:p>
            <w:r>
              <w:rPr>
                <w:rFonts w:ascii="Calibri" w:hAnsi="Calibri"/>
                <w:color w:val="333333"/>
                <w:sz w:val="19"/>
              </w:rPr>
              <w:t>1/10</w:t>
            </w:r>
          </w:p>
        </w:tc>
        <w:tc>
          <w:tcPr>
            <w:tcW w:type="dxa" w:w="1800"/>
            <w:shd w:fill="F5F5F5" w:color="auto" w:val="clear"/>
          </w:tcPr>
          <w:p>
            <w:r>
              <w:rPr>
                <w:rFonts w:ascii="Calibri" w:hAnsi="Calibri"/>
                <w:color w:val="333333"/>
                <w:sz w:val="19"/>
              </w:rPr>
              <w:t>9/10</w:t>
            </w:r>
          </w:p>
        </w:tc>
        <w:tc>
          <w:tcPr>
            <w:tcW w:type="dxa" w:w="1800"/>
            <w:shd w:fill="F5F5F5" w:color="auto" w:val="clear"/>
          </w:tcPr>
          <w:p>
            <w:r>
              <w:rPr>
                <w:rFonts w:ascii="Calibri" w:hAnsi="Calibri"/>
                <w:color w:val="333333"/>
                <w:sz w:val="19"/>
              </w:rPr>
              <w:t>8/10</w:t>
            </w:r>
          </w:p>
        </w:tc>
        <w:tc>
          <w:tcPr>
            <w:tcW w:type="dxa" w:w="1800"/>
            <w:shd w:fill="F5F5F5" w:color="auto" w:val="clear"/>
          </w:tcPr>
          <w:p>
            <w:r>
              <w:rPr>
                <w:rFonts w:ascii="Calibri" w:hAnsi="Calibri"/>
                <w:color w:val="333333"/>
                <w:sz w:val="19"/>
              </w:rPr>
              <w:t>6/10</w:t>
            </w:r>
          </w:p>
        </w:tc>
      </w:tr>
      <w:tr>
        <w:tc>
          <w:tcPr>
            <w:tcW w:type="dxa" w:w="1800"/>
          </w:tcPr>
          <w:p>
            <w:r>
              <w:rPr>
                <w:rFonts w:ascii="Calibri" w:hAnsi="Calibri"/>
                <w:color w:val="333333"/>
                <w:sz w:val="19"/>
              </w:rPr>
              <w:t>Trust Signals (Online)</w:t>
            </w:r>
          </w:p>
        </w:tc>
        <w:tc>
          <w:tcPr>
            <w:tcW w:type="dxa" w:w="1800"/>
          </w:tcPr>
          <w:p>
            <w:r>
              <w:rPr>
                <w:rFonts w:ascii="Calibri" w:hAnsi="Calibri"/>
                <w:color w:val="333333"/>
                <w:sz w:val="19"/>
              </w:rPr>
              <w:t>2/10</w:t>
            </w:r>
          </w:p>
        </w:tc>
        <w:tc>
          <w:tcPr>
            <w:tcW w:type="dxa" w:w="1800"/>
          </w:tcPr>
          <w:p>
            <w:r>
              <w:rPr>
                <w:rFonts w:ascii="Calibri" w:hAnsi="Calibri"/>
                <w:color w:val="333333"/>
                <w:sz w:val="19"/>
              </w:rPr>
              <w:t>7/10</w:t>
            </w:r>
          </w:p>
        </w:tc>
        <w:tc>
          <w:tcPr>
            <w:tcW w:type="dxa" w:w="1800"/>
          </w:tcPr>
          <w:p>
            <w:r>
              <w:rPr>
                <w:rFonts w:ascii="Calibri" w:hAnsi="Calibri"/>
                <w:color w:val="333333"/>
                <w:sz w:val="19"/>
              </w:rPr>
              <w:t>9/10</w:t>
            </w:r>
          </w:p>
        </w:tc>
        <w:tc>
          <w:tcPr>
            <w:tcW w:type="dxa" w:w="1800"/>
          </w:tcPr>
          <w:p>
            <w:r>
              <w:rPr>
                <w:rFonts w:ascii="Calibri" w:hAnsi="Calibri"/>
                <w:color w:val="333333"/>
                <w:sz w:val="19"/>
              </w:rPr>
              <w:t>7/10</w:t>
            </w:r>
          </w:p>
        </w:tc>
      </w:tr>
      <w:tr>
        <w:tc>
          <w:tcPr>
            <w:tcW w:type="dxa" w:w="1800"/>
            <w:shd w:fill="F5F5F5" w:color="auto" w:val="clear"/>
          </w:tcPr>
          <w:p>
            <w:r>
              <w:rPr>
                <w:rFonts w:ascii="Calibri" w:hAnsi="Calibri"/>
                <w:color w:val="333333"/>
                <w:sz w:val="19"/>
              </w:rPr>
              <w:t>CTA Effectiveness</w:t>
            </w:r>
          </w:p>
        </w:tc>
        <w:tc>
          <w:tcPr>
            <w:tcW w:type="dxa" w:w="1800"/>
            <w:shd w:fill="F5F5F5" w:color="auto" w:val="clear"/>
          </w:tcPr>
          <w:p>
            <w:r>
              <w:rPr>
                <w:rFonts w:ascii="Calibri" w:hAnsi="Calibri"/>
                <w:color w:val="333333"/>
                <w:sz w:val="19"/>
              </w:rPr>
              <w:t>2/10</w:t>
            </w:r>
          </w:p>
        </w:tc>
        <w:tc>
          <w:tcPr>
            <w:tcW w:type="dxa" w:w="1800"/>
            <w:shd w:fill="F5F5F5" w:color="auto" w:val="clear"/>
          </w:tcPr>
          <w:p>
            <w:r>
              <w:rPr>
                <w:rFonts w:ascii="Calibri" w:hAnsi="Calibri"/>
                <w:color w:val="333333"/>
                <w:sz w:val="19"/>
              </w:rPr>
              <w:t>8/10</w:t>
            </w:r>
          </w:p>
        </w:tc>
        <w:tc>
          <w:tcPr>
            <w:tcW w:type="dxa" w:w="1800"/>
            <w:shd w:fill="F5F5F5" w:color="auto" w:val="clear"/>
          </w:tcPr>
          <w:p>
            <w:r>
              <w:rPr>
                <w:rFonts w:ascii="Calibri" w:hAnsi="Calibri"/>
                <w:color w:val="333333"/>
                <w:sz w:val="19"/>
              </w:rPr>
              <w:t>8/10</w:t>
            </w:r>
          </w:p>
        </w:tc>
        <w:tc>
          <w:tcPr>
            <w:tcW w:type="dxa" w:w="1800"/>
            <w:shd w:fill="F5F5F5" w:color="auto" w:val="clear"/>
          </w:tcPr>
          <w:p>
            <w:r>
              <w:rPr>
                <w:rFonts w:ascii="Calibri" w:hAnsi="Calibri"/>
                <w:color w:val="333333"/>
                <w:sz w:val="19"/>
              </w:rPr>
              <w:t>5/10</w:t>
            </w:r>
          </w:p>
        </w:tc>
      </w:tr>
      <w:tr>
        <w:tc>
          <w:tcPr>
            <w:tcW w:type="dxa" w:w="1800"/>
          </w:tcPr>
          <w:p>
            <w:r>
              <w:rPr>
                <w:rFonts w:ascii="Calibri" w:hAnsi="Calibri"/>
                <w:color w:val="333333"/>
                <w:sz w:val="19"/>
              </w:rPr>
              <w:t>Pricing Transparency</w:t>
            </w:r>
          </w:p>
        </w:tc>
        <w:tc>
          <w:tcPr>
            <w:tcW w:type="dxa" w:w="1800"/>
          </w:tcPr>
          <w:p>
            <w:r>
              <w:rPr>
                <w:rFonts w:ascii="Calibri" w:hAnsi="Calibri"/>
                <w:color w:val="333333"/>
                <w:sz w:val="19"/>
              </w:rPr>
              <w:t>3/10</w:t>
            </w:r>
          </w:p>
        </w:tc>
        <w:tc>
          <w:tcPr>
            <w:tcW w:type="dxa" w:w="1800"/>
          </w:tcPr>
          <w:p>
            <w:r>
              <w:rPr>
                <w:rFonts w:ascii="Calibri" w:hAnsi="Calibri"/>
                <w:color w:val="333333"/>
                <w:sz w:val="19"/>
              </w:rPr>
              <w:t>5/10</w:t>
            </w:r>
          </w:p>
        </w:tc>
        <w:tc>
          <w:tcPr>
            <w:tcW w:type="dxa" w:w="1800"/>
          </w:tcPr>
          <w:p>
            <w:r>
              <w:rPr>
                <w:rFonts w:ascii="Calibri" w:hAnsi="Calibri"/>
                <w:color w:val="333333"/>
                <w:sz w:val="19"/>
              </w:rPr>
              <w:t>4/10</w:t>
            </w:r>
          </w:p>
        </w:tc>
        <w:tc>
          <w:tcPr>
            <w:tcW w:type="dxa" w:w="1800"/>
          </w:tcPr>
          <w:p>
            <w:r>
              <w:rPr>
                <w:rFonts w:ascii="Calibri" w:hAnsi="Calibri"/>
                <w:color w:val="333333"/>
                <w:sz w:val="19"/>
              </w:rPr>
              <w:t>3/10</w:t>
            </w:r>
          </w:p>
        </w:tc>
      </w:tr>
      <w:tr>
        <w:tc>
          <w:tcPr>
            <w:tcW w:type="dxa" w:w="1800"/>
            <w:shd w:fill="F5F5F5" w:color="auto" w:val="clear"/>
          </w:tcPr>
          <w:p>
            <w:r>
              <w:rPr>
                <w:rFonts w:ascii="Calibri" w:hAnsi="Calibri"/>
                <w:color w:val="333333"/>
                <w:sz w:val="19"/>
              </w:rPr>
              <w:t>Content Depth</w:t>
            </w:r>
          </w:p>
        </w:tc>
        <w:tc>
          <w:tcPr>
            <w:tcW w:type="dxa" w:w="1800"/>
            <w:shd w:fill="F5F5F5" w:color="auto" w:val="clear"/>
          </w:tcPr>
          <w:p>
            <w:r>
              <w:rPr>
                <w:rFonts w:ascii="Calibri" w:hAnsi="Calibri"/>
                <w:color w:val="333333"/>
                <w:sz w:val="19"/>
              </w:rPr>
              <w:t>1/10</w:t>
            </w:r>
          </w:p>
        </w:tc>
        <w:tc>
          <w:tcPr>
            <w:tcW w:type="dxa" w:w="1800"/>
            <w:shd w:fill="F5F5F5" w:color="auto" w:val="clear"/>
          </w:tcPr>
          <w:p>
            <w:r>
              <w:rPr>
                <w:rFonts w:ascii="Calibri" w:hAnsi="Calibri"/>
                <w:color w:val="333333"/>
                <w:sz w:val="19"/>
              </w:rPr>
              <w:t>7/10</w:t>
            </w:r>
          </w:p>
        </w:tc>
        <w:tc>
          <w:tcPr>
            <w:tcW w:type="dxa" w:w="1800"/>
            <w:shd w:fill="F5F5F5" w:color="auto" w:val="clear"/>
          </w:tcPr>
          <w:p>
            <w:r>
              <w:rPr>
                <w:rFonts w:ascii="Calibri" w:hAnsi="Calibri"/>
                <w:color w:val="333333"/>
                <w:sz w:val="19"/>
              </w:rPr>
              <w:t>6/10</w:t>
            </w:r>
          </w:p>
        </w:tc>
        <w:tc>
          <w:tcPr>
            <w:tcW w:type="dxa" w:w="1800"/>
            <w:shd w:fill="F5F5F5" w:color="auto" w:val="clear"/>
          </w:tcPr>
          <w:p>
            <w:r>
              <w:rPr>
                <w:rFonts w:ascii="Calibri" w:hAnsi="Calibri"/>
                <w:color w:val="333333"/>
                <w:sz w:val="19"/>
              </w:rPr>
              <w:t>5/10</w:t>
            </w:r>
          </w:p>
        </w:tc>
      </w:tr>
      <w:tr>
        <w:tc>
          <w:tcPr>
            <w:tcW w:type="dxa" w:w="1800"/>
          </w:tcPr>
          <w:p>
            <w:r>
              <w:rPr>
                <w:rFonts w:ascii="Calibri" w:hAnsi="Calibri"/>
                <w:color w:val="333333"/>
                <w:sz w:val="19"/>
              </w:rPr>
              <w:t>Insurance Acceptance</w:t>
            </w:r>
          </w:p>
        </w:tc>
        <w:tc>
          <w:tcPr>
            <w:tcW w:type="dxa" w:w="1800"/>
          </w:tcPr>
          <w:p>
            <w:r>
              <w:rPr>
                <w:rFonts w:ascii="Calibri" w:hAnsi="Calibri"/>
                <w:color w:val="333333"/>
                <w:sz w:val="19"/>
              </w:rPr>
              <w:t>9/10</w:t>
            </w:r>
          </w:p>
        </w:tc>
        <w:tc>
          <w:tcPr>
            <w:tcW w:type="dxa" w:w="1800"/>
          </w:tcPr>
          <w:p>
            <w:r>
              <w:rPr>
                <w:rFonts w:ascii="Calibri" w:hAnsi="Calibri"/>
                <w:color w:val="333333"/>
                <w:sz w:val="19"/>
              </w:rPr>
              <w:t>1/10</w:t>
            </w:r>
          </w:p>
        </w:tc>
        <w:tc>
          <w:tcPr>
            <w:tcW w:type="dxa" w:w="1800"/>
          </w:tcPr>
          <w:p>
            <w:r>
              <w:rPr>
                <w:rFonts w:ascii="Calibri" w:hAnsi="Calibri"/>
                <w:color w:val="333333"/>
                <w:sz w:val="19"/>
              </w:rPr>
              <w:t>5/10</w:t>
            </w:r>
          </w:p>
        </w:tc>
        <w:tc>
          <w:tcPr>
            <w:tcW w:type="dxa" w:w="1800"/>
          </w:tcPr>
          <w:p>
            <w:r>
              <w:rPr>
                <w:rFonts w:ascii="Calibri" w:hAnsi="Calibri"/>
                <w:color w:val="333333"/>
                <w:sz w:val="19"/>
              </w:rPr>
              <w:t>6/10</w:t>
            </w:r>
          </w:p>
        </w:tc>
      </w:tr>
      <w:tr>
        <w:tc>
          <w:tcPr>
            <w:tcW w:type="dxa" w:w="1800"/>
            <w:shd w:fill="F5F5F5" w:color="auto" w:val="clear"/>
          </w:tcPr>
          <w:p>
            <w:r>
              <w:rPr>
                <w:rFonts w:ascii="Calibri" w:hAnsi="Calibri"/>
                <w:color w:val="333333"/>
                <w:sz w:val="19"/>
              </w:rPr>
              <w:t>Community/Local Trust</w:t>
            </w:r>
          </w:p>
        </w:tc>
        <w:tc>
          <w:tcPr>
            <w:tcW w:type="dxa" w:w="1800"/>
            <w:shd w:fill="F5F5F5" w:color="auto" w:val="clear"/>
          </w:tcPr>
          <w:p>
            <w:r>
              <w:rPr>
                <w:rFonts w:ascii="Calibri" w:hAnsi="Calibri"/>
                <w:color w:val="333333"/>
                <w:sz w:val="19"/>
              </w:rPr>
              <w:t>8/10</w:t>
            </w:r>
          </w:p>
        </w:tc>
        <w:tc>
          <w:tcPr>
            <w:tcW w:type="dxa" w:w="1800"/>
            <w:shd w:fill="F5F5F5" w:color="auto" w:val="clear"/>
          </w:tcPr>
          <w:p>
            <w:r>
              <w:rPr>
                <w:rFonts w:ascii="Calibri" w:hAnsi="Calibri"/>
                <w:color w:val="333333"/>
                <w:sz w:val="19"/>
              </w:rPr>
              <w:t>2/10</w:t>
            </w:r>
          </w:p>
        </w:tc>
        <w:tc>
          <w:tcPr>
            <w:tcW w:type="dxa" w:w="1800"/>
            <w:shd w:fill="F5F5F5" w:color="auto" w:val="clear"/>
          </w:tcPr>
          <w:p>
            <w:r>
              <w:rPr>
                <w:rFonts w:ascii="Calibri" w:hAnsi="Calibri"/>
                <w:color w:val="333333"/>
                <w:sz w:val="19"/>
              </w:rPr>
              <w:t>3/10</w:t>
            </w:r>
          </w:p>
        </w:tc>
        <w:tc>
          <w:tcPr>
            <w:tcW w:type="dxa" w:w="1800"/>
            <w:shd w:fill="F5F5F5" w:color="auto" w:val="clear"/>
          </w:tcPr>
          <w:p>
            <w:r>
              <w:rPr>
                <w:rFonts w:ascii="Calibri" w:hAnsi="Calibri"/>
                <w:color w:val="333333"/>
                <w:sz w:val="19"/>
              </w:rPr>
              <w:t>7/10</w:t>
            </w:r>
          </w:p>
        </w:tc>
      </w:tr>
      <w:tr>
        <w:tc>
          <w:tcPr>
            <w:tcW w:type="dxa" w:w="1800"/>
          </w:tcPr>
          <w:p>
            <w:r>
              <w:rPr>
                <w:rFonts w:ascii="Calibri" w:hAnsi="Calibri"/>
                <w:color w:val="333333"/>
                <w:sz w:val="19"/>
              </w:rPr>
              <w:t>Patient Story Content</w:t>
            </w:r>
          </w:p>
        </w:tc>
        <w:tc>
          <w:tcPr>
            <w:tcW w:type="dxa" w:w="1800"/>
          </w:tcPr>
          <w:p>
            <w:r>
              <w:rPr>
                <w:rFonts w:ascii="Calibri" w:hAnsi="Calibri"/>
                <w:color w:val="333333"/>
                <w:sz w:val="19"/>
              </w:rPr>
              <w:t>0/10</w:t>
            </w:r>
          </w:p>
        </w:tc>
        <w:tc>
          <w:tcPr>
            <w:tcW w:type="dxa" w:w="1800"/>
          </w:tcPr>
          <w:p>
            <w:r>
              <w:rPr>
                <w:rFonts w:ascii="Calibri" w:hAnsi="Calibri"/>
                <w:color w:val="333333"/>
                <w:sz w:val="19"/>
              </w:rPr>
              <w:t>6/10</w:t>
            </w:r>
          </w:p>
        </w:tc>
        <w:tc>
          <w:tcPr>
            <w:tcW w:type="dxa" w:w="1800"/>
          </w:tcPr>
          <w:p>
            <w:r>
              <w:rPr>
                <w:rFonts w:ascii="Calibri" w:hAnsi="Calibri"/>
                <w:color w:val="333333"/>
                <w:sz w:val="19"/>
              </w:rPr>
              <w:t>5/10</w:t>
            </w:r>
          </w:p>
        </w:tc>
        <w:tc>
          <w:tcPr>
            <w:tcW w:type="dxa" w:w="1800"/>
          </w:tcPr>
          <w:p>
            <w:r>
              <w:rPr>
                <w:rFonts w:ascii="Calibri" w:hAnsi="Calibri"/>
                <w:color w:val="333333"/>
                <w:sz w:val="19"/>
              </w:rPr>
              <w:t>3/10</w:t>
            </w:r>
          </w:p>
        </w:tc>
      </w:tr>
      <w:tr>
        <w:tc>
          <w:tcPr>
            <w:tcW w:type="dxa" w:w="1800"/>
            <w:shd w:fill="F5F5F5" w:color="auto" w:val="clear"/>
          </w:tcPr>
          <w:p>
            <w:r>
              <w:rPr>
                <w:rFonts w:ascii="Calibri" w:hAnsi="Calibri"/>
                <w:color w:val="333333"/>
                <w:sz w:val="19"/>
              </w:rPr>
              <w:t>YouTube/Video Presence</w:t>
            </w:r>
          </w:p>
        </w:tc>
        <w:tc>
          <w:tcPr>
            <w:tcW w:type="dxa" w:w="1800"/>
            <w:shd w:fill="F5F5F5" w:color="auto" w:val="clear"/>
          </w:tcPr>
          <w:p>
            <w:r>
              <w:rPr>
                <w:rFonts w:ascii="Calibri" w:hAnsi="Calibri"/>
                <w:color w:val="333333"/>
                <w:sz w:val="19"/>
              </w:rPr>
              <w:t>0/10</w:t>
            </w:r>
          </w:p>
        </w:tc>
        <w:tc>
          <w:tcPr>
            <w:tcW w:type="dxa" w:w="1800"/>
            <w:shd w:fill="F5F5F5" w:color="auto" w:val="clear"/>
          </w:tcPr>
          <w:p>
            <w:r>
              <w:rPr>
                <w:rFonts w:ascii="Calibri" w:hAnsi="Calibri"/>
                <w:color w:val="333333"/>
                <w:sz w:val="19"/>
              </w:rPr>
              <w:t>4/10</w:t>
            </w:r>
          </w:p>
        </w:tc>
        <w:tc>
          <w:tcPr>
            <w:tcW w:type="dxa" w:w="1800"/>
            <w:shd w:fill="F5F5F5" w:color="auto" w:val="clear"/>
          </w:tcPr>
          <w:p>
            <w:r>
              <w:rPr>
                <w:rFonts w:ascii="Calibri" w:hAnsi="Calibri"/>
                <w:color w:val="333333"/>
                <w:sz w:val="19"/>
              </w:rPr>
              <w:t>2/10</w:t>
            </w:r>
          </w:p>
        </w:tc>
        <w:tc>
          <w:tcPr>
            <w:tcW w:type="dxa" w:w="1800"/>
            <w:shd w:fill="F5F5F5" w:color="auto" w:val="clear"/>
          </w:tcPr>
          <w:p>
            <w:r>
              <w:rPr>
                <w:rFonts w:ascii="Calibri" w:hAnsi="Calibri"/>
                <w:color w:val="333333"/>
                <w:sz w:val="19"/>
              </w:rPr>
              <w:t>0/10</w:t>
            </w:r>
          </w:p>
        </w:tc>
      </w:tr>
    </w:tbl>
    <w:p/>
    <w:p>
      <w:pPr>
        <w:spacing w:before="0" w:after="60"/>
      </w:pPr>
    </w:p>
    <w:p>
      <w:pPr>
        <w:spacing w:before="0" w:after="60" w:line="288" w:lineRule="auto"/>
      </w:pPr>
      <w:r>
        <w:rPr>
          <w:rFonts w:ascii="Calibri" w:hAnsi="Calibri"/>
          <w:b/>
          <w:color w:val="58585A"/>
          <w:sz w:val="20"/>
        </w:rPr>
        <w:t>Critical insight:</w:t>
      </w:r>
      <w:r>
        <w:rPr>
          <w:rFonts w:ascii="Calibri" w:hAnsi="Calibri"/>
          <w:color w:val="58585A"/>
          <w:sz w:val="20"/>
        </w:rPr>
        <w:t xml:space="preserve"> Hedges Dental has a genuine and exploitable competitive advantage in two dimensions that its competitors cannot replicate: insurance acceptance (vs. ClearChoice) and authentic local/community trust (vs. all corporate competitors). Neither advantage is currently visible in the marketing. The rebuild activates both.</w:t>
      </w:r>
    </w:p>
    <w:p>
      <w:pPr>
        <w:spacing w:before="0" w:after="60"/>
      </w:pPr>
    </w:p>
    <w:p>
      <w:pPr>
        <w:spacing w:before="80" w:after="80"/>
        <w:pBdr>
          <w:bottom w:val="single" w:sz="6" w:space="1" w:color="25aae1"/>
        </w:pBdr>
      </w:pPr>
    </w:p>
    <w:p>
      <w:pPr>
        <w:spacing w:before="0" w:after="60"/>
      </w:pPr>
    </w:p>
    <w:p>
      <w:r>
        <w:br w:type="page"/>
      </w:r>
    </w:p>
    <w:p>
      <w:pPr>
        <w:spacing w:before="0" w:after="160"/>
        <w:pBdr>
          <w:bottom w:val="single" w:sz="8" w:space="1" w:color="25aae1"/>
        </w:pBdr>
      </w:pPr>
      <w:r>
        <w:rPr>
          <w:rFonts w:ascii="Calibri" w:hAnsi="Calibri"/>
          <w:b/>
          <w:color w:val="25AAE1"/>
          <w:sz w:val="40"/>
        </w:rPr>
        <w:t>Revenue Impact Summary</w:t>
      </w:r>
    </w:p>
    <w:p>
      <w:pPr>
        <w:spacing w:before="0" w:after="60"/>
      </w:pPr>
    </w:p>
    <w:p>
      <w:pPr>
        <w:spacing w:before="320" w:after="120"/>
        <w:pBdr>
          <w:bottom w:val="single" w:sz="4" w:space="1" w:color="CCCCCC"/>
        </w:pBdr>
      </w:pPr>
      <w:r>
        <w:rPr>
          <w:rFonts w:ascii="Calibri" w:hAnsi="Calibri"/>
          <w:b/>
          <w:color w:val="58585A"/>
          <w:sz w:val="26"/>
        </w:rPr>
        <w:t>How These Estimates Were Calculated</w:t>
      </w:r>
    </w:p>
    <w:p>
      <w:pPr>
        <w:spacing w:before="0" w:after="60"/>
      </w:pPr>
    </w:p>
    <w:p>
      <w:pPr>
        <w:spacing w:before="240" w:after="80"/>
      </w:pPr>
      <w:r>
        <w:rPr>
          <w:rFonts w:ascii="Calibri" w:hAnsi="Calibri"/>
          <w:b/>
          <w:color w:val="58585A"/>
          <w:sz w:val="24"/>
        </w:rPr>
        <w:t>Input 1 — Estimated monthly site traffic: 100–250 visitors/month (combined, both domains).</w:t>
      </w:r>
    </w:p>
    <w:p>
      <w:pPr>
        <w:spacing w:before="0" w:after="120" w:line="336" w:lineRule="auto"/>
      </w:pPr>
      <w:r>
        <w:rPr>
          <w:rFonts w:ascii="Georgia" w:hAnsi="Georgia"/>
          <w:color w:val="333333"/>
          <w:sz w:val="22"/>
        </w:rPr>
        <w:t>This is an estimate based on: practice age (newer, first private location), domain authority (low, limited backlink profile), content volume (minimal — no blog, no long-form pages), local market size (suburban Louisville), and the two-domain split which distributes traffic across two thin sites. Analytics data is not available. Once GA4 is installed, this estimate should be replaced with actual data within 60 days.</w:t>
      </w:r>
    </w:p>
    <w:p>
      <w:pPr>
        <w:spacing w:before="0" w:after="60"/>
      </w:pPr>
    </w:p>
    <w:p>
      <w:pPr>
        <w:spacing w:before="240" w:after="80"/>
      </w:pPr>
      <w:r>
        <w:rPr>
          <w:rFonts w:ascii="Calibri" w:hAnsi="Calibri"/>
          <w:b/>
          <w:color w:val="58585A"/>
          <w:sz w:val="24"/>
        </w:rPr>
        <w:t>Input 2 — Implant consultation-to-case conversion rate: 45%.</w:t>
      </w:r>
    </w:p>
    <w:p>
      <w:pPr>
        <w:spacing w:before="0" w:after="120" w:line="336" w:lineRule="auto"/>
      </w:pPr>
      <w:r>
        <w:rPr>
          <w:rFonts w:ascii="Georgia" w:hAnsi="Georgia"/>
          <w:color w:val="333333"/>
          <w:sz w:val="22"/>
        </w:rPr>
        <w:t>Industry benchmark for implant-capable general dentists at an established practice is 50–65%. The conservative end (45%) is used here, reflecting that the pre-consultation education infrastructure does not yet exist. As the content and nurture system matures, this rate should rise to 55–65%.</w:t>
      </w:r>
    </w:p>
    <w:p>
      <w:pPr>
        <w:spacing w:before="0" w:after="60"/>
      </w:pPr>
    </w:p>
    <w:p>
      <w:pPr>
        <w:spacing w:before="240" w:after="80"/>
      </w:pPr>
      <w:r>
        <w:rPr>
          <w:rFonts w:ascii="Calibri" w:hAnsi="Calibri"/>
          <w:b/>
          <w:color w:val="58585A"/>
          <w:sz w:val="24"/>
        </w:rPr>
        <w:t>Input 3 — Blended average implant case value: $7,500.</w:t>
      </w:r>
    </w:p>
    <w:p>
      <w:pPr>
        <w:spacing w:before="0" w:after="120" w:line="336" w:lineRule="auto"/>
      </w:pPr>
      <w:r>
        <w:rPr>
          <w:rFonts w:ascii="Georgia" w:hAnsi="Georgia"/>
          <w:color w:val="333333"/>
          <w:sz w:val="22"/>
        </w:rPr>
        <w:t>Blend assumes: 65% single-tooth implants + crown at $5,000 avg, 20% implant-retained dentures at $13,000 avg, 15% full-arch cases at $38,000 avg. High-end outlier full-arch cases ($65,000+) are excluded from the blend. This blended figure will shift upward as the full-arch positioning matures and ClearChoice counter-positioning attracts higher-value case inquiries.</w:t>
      </w:r>
    </w:p>
    <w:p>
      <w:pPr>
        <w:spacing w:before="0" w:after="60"/>
      </w:pPr>
    </w:p>
    <w:p>
      <w:pPr>
        <w:spacing w:before="240" w:after="80"/>
      </w:pPr>
      <w:r>
        <w:rPr>
          <w:rFonts w:ascii="Calibri" w:hAnsi="Calibri"/>
          <w:b/>
          <w:color w:val="58585A"/>
          <w:sz w:val="24"/>
        </w:rPr>
        <w:t>Input 4 — Incremental improvement, not compounding.</w:t>
      </w:r>
    </w:p>
    <w:p>
      <w:pPr>
        <w:spacing w:before="0" w:after="120" w:line="336" w:lineRule="auto"/>
      </w:pPr>
      <w:r>
        <w:rPr>
          <w:rFonts w:ascii="Georgia" w:hAnsi="Georgia"/>
          <w:color w:val="333333"/>
          <w:sz w:val="22"/>
        </w:rPr>
        <w:t>Each line item below is estimated independently. In practice, changes compound — a better website produces more conversions AND better SEO results simultaneously. The table treats each change in isolation to avoid inflating the total.</w:t>
      </w:r>
    </w:p>
    <w:p>
      <w:pPr>
        <w:spacing w:before="0" w:after="60"/>
      </w:pPr>
    </w:p>
    <w:p>
      <w:pPr>
        <w:spacing w:before="0" w:after="60" w:line="288" w:lineRule="auto"/>
      </w:pPr>
      <w:r>
        <w:rPr>
          <w:rFonts w:ascii="Calibri" w:hAnsi="Calibri"/>
          <w:b/>
          <w:color w:val="58585A"/>
          <w:sz w:val="20"/>
        </w:rPr>
        <w:t>Critical caveat:</w:t>
      </w:r>
      <w:r>
        <w:rPr>
          <w:rFonts w:ascii="Calibri" w:hAnsi="Calibri"/>
          <w:color w:val="58585A"/>
          <w:sz w:val="20"/>
        </w:rPr>
        <w:t xml:space="preserve"> These are directional estimates, not guarantees. Once GA4 is installed and 60 days of data is collected, every estimate in this table should be replaced with figures grounded in actual traffic, conversion, and source data from these specific sites.</w:t>
      </w:r>
    </w:p>
    <w:p>
      <w:pPr>
        <w:spacing w:before="0" w:after="60"/>
      </w:pPr>
    </w:p>
    <w:p>
      <w:pPr>
        <w:spacing w:before="80" w:after="80"/>
        <w:pBdr>
          <w:bottom w:val="single" w:sz="6" w:space="1" w:color="25aae1"/>
        </w:pBdr>
      </w:pPr>
    </w:p>
    <w:p>
      <w:pPr>
        <w:spacing w:before="0" w:after="60"/>
      </w:pP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shd w:fill="25aae1" w:color="auto" w:val="clear"/>
          </w:tcPr>
          <w:p>
            <w:pPr>
              <w:jc w:val="center"/>
            </w:pPr>
            <w:r>
              <w:rPr>
                <w:rFonts w:ascii="Calibri" w:hAnsi="Calibri"/>
                <w:b/>
                <w:color w:val="FFFFFF"/>
                <w:sz w:val="19"/>
              </w:rPr>
              <w:t>Recommendation</w:t>
            </w:r>
          </w:p>
        </w:tc>
        <w:tc>
          <w:tcPr>
            <w:tcW w:type="dxa" w:w="1800"/>
            <w:shd w:fill="25aae1" w:color="auto" w:val="clear"/>
          </w:tcPr>
          <w:p>
            <w:pPr>
              <w:jc w:val="center"/>
            </w:pPr>
            <w:r>
              <w:rPr>
                <w:rFonts w:ascii="Calibri" w:hAnsi="Calibri"/>
                <w:b/>
                <w:color w:val="FFFFFF"/>
                <w:sz w:val="19"/>
              </w:rPr>
              <w:t>Est. Additional Cases/Month</w:t>
            </w:r>
          </w:p>
        </w:tc>
        <w:tc>
          <w:tcPr>
            <w:tcW w:type="dxa" w:w="1800"/>
            <w:shd w:fill="25aae1" w:color="auto" w:val="clear"/>
          </w:tcPr>
          <w:p>
            <w:pPr>
              <w:jc w:val="center"/>
            </w:pPr>
            <w:r>
              <w:rPr>
                <w:rFonts w:ascii="Calibri" w:hAnsi="Calibri"/>
                <w:b/>
                <w:color w:val="FFFFFF"/>
                <w:sz w:val="19"/>
              </w:rPr>
              <w:t>Est. Monthly Revenue Impact</w:t>
            </w:r>
          </w:p>
        </w:tc>
        <w:tc>
          <w:tcPr>
            <w:tcW w:type="dxa" w:w="1800"/>
            <w:shd w:fill="25aae1" w:color="auto" w:val="clear"/>
          </w:tcPr>
          <w:p>
            <w:pPr>
              <w:jc w:val="center"/>
            </w:pPr>
            <w:r>
              <w:rPr>
                <w:rFonts w:ascii="Calibri" w:hAnsi="Calibri"/>
                <w:b/>
                <w:color w:val="FFFFFF"/>
                <w:sz w:val="19"/>
              </w:rPr>
              <w:t>Confidence</w:t>
            </w:r>
          </w:p>
        </w:tc>
        <w:tc>
          <w:tcPr>
            <w:tcW w:type="dxa" w:w="1800"/>
            <w:shd w:fill="25aae1" w:color="auto" w:val="clear"/>
          </w:tcPr>
          <w:p>
            <w:pPr>
              <w:jc w:val="center"/>
            </w:pPr>
            <w:r>
              <w:rPr>
                <w:rFonts w:ascii="Calibri" w:hAnsi="Calibri"/>
                <w:b/>
                <w:color w:val="FFFFFF"/>
                <w:sz w:val="19"/>
              </w:rPr>
              <w:t>Timeline to Impact</w:t>
            </w:r>
          </w:p>
        </w:tc>
      </w:tr>
      <w:tr>
        <w:tc>
          <w:tcPr>
            <w:tcW w:type="dxa" w:w="1800"/>
          </w:tcPr>
          <w:p>
            <w:r>
              <w:rPr>
                <w:rFonts w:ascii="Calibri" w:hAnsi="Calibri"/>
                <w:color w:val="333333"/>
                <w:sz w:val="19"/>
              </w:rPr>
              <w:t>QW-1: Implant authority headline (both sites)</w:t>
            </w:r>
          </w:p>
        </w:tc>
        <w:tc>
          <w:tcPr>
            <w:tcW w:type="dxa" w:w="1800"/>
          </w:tcPr>
          <w:p>
            <w:r>
              <w:rPr>
                <w:rFonts w:ascii="Calibri" w:hAnsi="Calibri"/>
                <w:color w:val="333333"/>
                <w:sz w:val="19"/>
              </w:rPr>
              <w:t>+0.5–1 case</w:t>
            </w:r>
          </w:p>
        </w:tc>
        <w:tc>
          <w:tcPr>
            <w:tcW w:type="dxa" w:w="1800"/>
          </w:tcPr>
          <w:p>
            <w:r>
              <w:rPr>
                <w:rFonts w:ascii="Calibri" w:hAnsi="Calibri"/>
                <w:color w:val="333333"/>
                <w:sz w:val="19"/>
              </w:rPr>
              <w:t>$3,750–$7,500</w:t>
            </w:r>
          </w:p>
        </w:tc>
        <w:tc>
          <w:tcPr>
            <w:tcW w:type="dxa" w:w="1800"/>
          </w:tcPr>
          <w:p>
            <w:r>
              <w:rPr>
                <w:rFonts w:ascii="Calibri" w:hAnsi="Calibri"/>
                <w:color w:val="333333"/>
                <w:sz w:val="19"/>
              </w:rPr>
              <w:t>Low–Moderate</w:t>
            </w:r>
          </w:p>
        </w:tc>
        <w:tc>
          <w:tcPr>
            <w:tcW w:type="dxa" w:w="1800"/>
          </w:tcPr>
          <w:p>
            <w:r>
              <w:rPr>
                <w:rFonts w:ascii="Calibri" w:hAnsi="Calibri"/>
                <w:color w:val="333333"/>
                <w:sz w:val="19"/>
              </w:rPr>
              <w:t>2–4 weeks (conversion lift)</w:t>
            </w:r>
          </w:p>
        </w:tc>
      </w:tr>
      <w:tr>
        <w:tc>
          <w:tcPr>
            <w:tcW w:type="dxa" w:w="1800"/>
            <w:shd w:fill="F5F5F5" w:color="auto" w:val="clear"/>
          </w:tcPr>
          <w:p>
            <w:r>
              <w:rPr>
                <w:rFonts w:ascii="Calibri" w:hAnsi="Calibri"/>
                <w:color w:val="333333"/>
                <w:sz w:val="19"/>
              </w:rPr>
              <w:t>QW-2: CareCredit financing callout on all implant pages</w:t>
            </w:r>
          </w:p>
        </w:tc>
        <w:tc>
          <w:tcPr>
            <w:tcW w:type="dxa" w:w="1800"/>
            <w:shd w:fill="F5F5F5" w:color="auto" w:val="clear"/>
          </w:tcPr>
          <w:p>
            <w:r>
              <w:rPr>
                <w:rFonts w:ascii="Calibri" w:hAnsi="Calibri"/>
                <w:color w:val="333333"/>
                <w:sz w:val="19"/>
              </w:rPr>
              <w:t>+0.5–1 case</w:t>
            </w:r>
          </w:p>
        </w:tc>
        <w:tc>
          <w:tcPr>
            <w:tcW w:type="dxa" w:w="1800"/>
            <w:shd w:fill="F5F5F5" w:color="auto" w:val="clear"/>
          </w:tcPr>
          <w:p>
            <w:r>
              <w:rPr>
                <w:rFonts w:ascii="Calibri" w:hAnsi="Calibri"/>
                <w:color w:val="333333"/>
                <w:sz w:val="19"/>
              </w:rPr>
              <w:t>$3,750–$7,500</w:t>
            </w:r>
          </w:p>
        </w:tc>
        <w:tc>
          <w:tcPr>
            <w:tcW w:type="dxa" w:w="1800"/>
            <w:shd w:fill="F5F5F5" w:color="auto" w:val="clear"/>
          </w:tcPr>
          <w:p>
            <w:r>
              <w:rPr>
                <w:rFonts w:ascii="Calibri" w:hAnsi="Calibri"/>
                <w:color w:val="333333"/>
                <w:sz w:val="19"/>
              </w:rPr>
              <w:t>Moderate</w:t>
            </w:r>
          </w:p>
        </w:tc>
        <w:tc>
          <w:tcPr>
            <w:tcW w:type="dxa" w:w="1800"/>
            <w:shd w:fill="F5F5F5" w:color="auto" w:val="clear"/>
          </w:tcPr>
          <w:p>
            <w:r>
              <w:rPr>
                <w:rFonts w:ascii="Calibri" w:hAnsi="Calibri"/>
                <w:color w:val="333333"/>
                <w:sz w:val="19"/>
              </w:rPr>
              <w:t>2–4 weeks</w:t>
            </w:r>
          </w:p>
        </w:tc>
      </w:tr>
      <w:tr>
        <w:tc>
          <w:tcPr>
            <w:tcW w:type="dxa" w:w="1800"/>
          </w:tcPr>
          <w:p>
            <w:r>
              <w:rPr>
                <w:rFonts w:ascii="Calibri" w:hAnsi="Calibri"/>
                <w:color w:val="333333"/>
                <w:sz w:val="19"/>
              </w:rPr>
              <w:t>QW-5: Google Business Profile optimization</w:t>
            </w:r>
          </w:p>
        </w:tc>
        <w:tc>
          <w:tcPr>
            <w:tcW w:type="dxa" w:w="1800"/>
          </w:tcPr>
          <w:p>
            <w:r>
              <w:rPr>
                <w:rFonts w:ascii="Calibri" w:hAnsi="Calibri"/>
                <w:color w:val="333333"/>
                <w:sz w:val="19"/>
              </w:rPr>
              <w:t>+1–2 cases</w:t>
            </w:r>
          </w:p>
        </w:tc>
        <w:tc>
          <w:tcPr>
            <w:tcW w:type="dxa" w:w="1800"/>
          </w:tcPr>
          <w:p>
            <w:r>
              <w:rPr>
                <w:rFonts w:ascii="Calibri" w:hAnsi="Calibri"/>
                <w:color w:val="333333"/>
                <w:sz w:val="19"/>
              </w:rPr>
              <w:t>$7,500–$15,000</w:t>
            </w:r>
          </w:p>
        </w:tc>
        <w:tc>
          <w:tcPr>
            <w:tcW w:type="dxa" w:w="1800"/>
          </w:tcPr>
          <w:p>
            <w:r>
              <w:rPr>
                <w:rFonts w:ascii="Calibri" w:hAnsi="Calibri"/>
                <w:color w:val="333333"/>
                <w:sz w:val="19"/>
              </w:rPr>
              <w:t>Moderate</w:t>
            </w:r>
          </w:p>
        </w:tc>
        <w:tc>
          <w:tcPr>
            <w:tcW w:type="dxa" w:w="1800"/>
          </w:tcPr>
          <w:p>
            <w:r>
              <w:rPr>
                <w:rFonts w:ascii="Calibri" w:hAnsi="Calibri"/>
                <w:color w:val="333333"/>
                <w:sz w:val="19"/>
              </w:rPr>
              <w:t>4–8 weeks (GBP updates index within days; ranking takes 4–8 weeks)</w:t>
            </w:r>
          </w:p>
        </w:tc>
      </w:tr>
      <w:tr>
        <w:tc>
          <w:tcPr>
            <w:tcW w:type="dxa" w:w="1800"/>
            <w:shd w:fill="F5F5F5" w:color="auto" w:val="clear"/>
          </w:tcPr>
          <w:p>
            <w:r>
              <w:rPr>
                <w:rFonts w:ascii="Calibri" w:hAnsi="Calibri"/>
                <w:color w:val="333333"/>
                <w:sz w:val="19"/>
              </w:rPr>
              <w:t>QW-6: Review generation sequence (30 reviews in 90 days)</w:t>
            </w:r>
          </w:p>
        </w:tc>
        <w:tc>
          <w:tcPr>
            <w:tcW w:type="dxa" w:w="1800"/>
            <w:shd w:fill="F5F5F5" w:color="auto" w:val="clear"/>
          </w:tcPr>
          <w:p>
            <w:r>
              <w:rPr>
                <w:rFonts w:ascii="Calibri" w:hAnsi="Calibri"/>
                <w:color w:val="333333"/>
                <w:sz w:val="19"/>
              </w:rPr>
              <w:t>+1–2 cases</w:t>
            </w:r>
          </w:p>
        </w:tc>
        <w:tc>
          <w:tcPr>
            <w:tcW w:type="dxa" w:w="1800"/>
            <w:shd w:fill="F5F5F5" w:color="auto" w:val="clear"/>
          </w:tcPr>
          <w:p>
            <w:r>
              <w:rPr>
                <w:rFonts w:ascii="Calibri" w:hAnsi="Calibri"/>
                <w:color w:val="333333"/>
                <w:sz w:val="19"/>
              </w:rPr>
              <w:t>$7,500–$15,000</w:t>
            </w:r>
          </w:p>
        </w:tc>
        <w:tc>
          <w:tcPr>
            <w:tcW w:type="dxa" w:w="1800"/>
            <w:shd w:fill="F5F5F5" w:color="auto" w:val="clear"/>
          </w:tcPr>
          <w:p>
            <w:r>
              <w:rPr>
                <w:rFonts w:ascii="Calibri" w:hAnsi="Calibri"/>
                <w:color w:val="333333"/>
                <w:sz w:val="19"/>
              </w:rPr>
              <w:t>Moderate</w:t>
            </w:r>
          </w:p>
        </w:tc>
        <w:tc>
          <w:tcPr>
            <w:tcW w:type="dxa" w:w="1800"/>
            <w:shd w:fill="F5F5F5" w:color="auto" w:val="clear"/>
          </w:tcPr>
          <w:p>
            <w:r>
              <w:rPr>
                <w:rFonts w:ascii="Calibri" w:hAnsi="Calibri"/>
                <w:color w:val="333333"/>
                <w:sz w:val="19"/>
              </w:rPr>
              <w:t>60–90 days to review volume; 90–120 days to ranking impact</w:t>
            </w:r>
          </w:p>
        </w:tc>
      </w:tr>
      <w:tr>
        <w:tc>
          <w:tcPr>
            <w:tcW w:type="dxa" w:w="1800"/>
          </w:tcPr>
          <w:p>
            <w:r>
              <w:rPr>
                <w:rFonts w:ascii="Calibri" w:hAnsi="Calibri"/>
                <w:color w:val="333333"/>
                <w:sz w:val="19"/>
              </w:rPr>
              <w:t>SR-1: toplouisvilledentist.com rebuild as implant authority site</w:t>
            </w:r>
          </w:p>
        </w:tc>
        <w:tc>
          <w:tcPr>
            <w:tcW w:type="dxa" w:w="1800"/>
          </w:tcPr>
          <w:p>
            <w:r>
              <w:rPr>
                <w:rFonts w:ascii="Calibri" w:hAnsi="Calibri"/>
                <w:color w:val="333333"/>
                <w:sz w:val="19"/>
              </w:rPr>
              <w:t>+2–4 cases</w:t>
            </w:r>
          </w:p>
        </w:tc>
        <w:tc>
          <w:tcPr>
            <w:tcW w:type="dxa" w:w="1800"/>
          </w:tcPr>
          <w:p>
            <w:r>
              <w:rPr>
                <w:rFonts w:ascii="Calibri" w:hAnsi="Calibri"/>
                <w:color w:val="333333"/>
                <w:sz w:val="19"/>
              </w:rPr>
              <w:t>$15,000–$30,000</w:t>
            </w:r>
          </w:p>
        </w:tc>
        <w:tc>
          <w:tcPr>
            <w:tcW w:type="dxa" w:w="1800"/>
          </w:tcPr>
          <w:p>
            <w:r>
              <w:rPr>
                <w:rFonts w:ascii="Calibri" w:hAnsi="Calibri"/>
                <w:color w:val="333333"/>
                <w:sz w:val="19"/>
              </w:rPr>
              <w:t>Moderate</w:t>
            </w:r>
          </w:p>
        </w:tc>
        <w:tc>
          <w:tcPr>
            <w:tcW w:type="dxa" w:w="1800"/>
          </w:tcPr>
          <w:p>
            <w:r>
              <w:rPr>
                <w:rFonts w:ascii="Calibri" w:hAnsi="Calibri"/>
                <w:color w:val="333333"/>
                <w:sz w:val="19"/>
              </w:rPr>
              <w:t>30–45 days to build; 60–90 days to traffic maturity</w:t>
            </w:r>
          </w:p>
        </w:tc>
      </w:tr>
      <w:tr>
        <w:tc>
          <w:tcPr>
            <w:tcW w:type="dxa" w:w="1800"/>
            <w:shd w:fill="F5F5F5" w:color="auto" w:val="clear"/>
          </w:tcPr>
          <w:p>
            <w:r>
              <w:rPr>
                <w:rFonts w:ascii="Calibri" w:hAnsi="Calibri"/>
                <w:color w:val="333333"/>
                <w:sz w:val="19"/>
              </w:rPr>
              <w:t>SR-2: ClearChoice counter-positioning content</w:t>
            </w:r>
          </w:p>
        </w:tc>
        <w:tc>
          <w:tcPr>
            <w:tcW w:type="dxa" w:w="1800"/>
            <w:shd w:fill="F5F5F5" w:color="auto" w:val="clear"/>
          </w:tcPr>
          <w:p>
            <w:r>
              <w:rPr>
                <w:rFonts w:ascii="Calibri" w:hAnsi="Calibri"/>
                <w:color w:val="333333"/>
                <w:sz w:val="19"/>
              </w:rPr>
              <w:t>+1–2 cases</w:t>
            </w:r>
          </w:p>
        </w:tc>
        <w:tc>
          <w:tcPr>
            <w:tcW w:type="dxa" w:w="1800"/>
            <w:shd w:fill="F5F5F5" w:color="auto" w:val="clear"/>
          </w:tcPr>
          <w:p>
            <w:r>
              <w:rPr>
                <w:rFonts w:ascii="Calibri" w:hAnsi="Calibri"/>
                <w:color w:val="333333"/>
                <w:sz w:val="19"/>
              </w:rPr>
              <w:t>$7,500–$15,000</w:t>
            </w:r>
          </w:p>
        </w:tc>
        <w:tc>
          <w:tcPr>
            <w:tcW w:type="dxa" w:w="1800"/>
            <w:shd w:fill="F5F5F5" w:color="auto" w:val="clear"/>
          </w:tcPr>
          <w:p>
            <w:r>
              <w:rPr>
                <w:rFonts w:ascii="Calibri" w:hAnsi="Calibri"/>
                <w:color w:val="333333"/>
                <w:sz w:val="19"/>
              </w:rPr>
              <w:t>Low–Moderate</w:t>
            </w:r>
          </w:p>
        </w:tc>
        <w:tc>
          <w:tcPr>
            <w:tcW w:type="dxa" w:w="1800"/>
            <w:shd w:fill="F5F5F5" w:color="auto" w:val="clear"/>
          </w:tcPr>
          <w:p>
            <w:r>
              <w:rPr>
                <w:rFonts w:ascii="Calibri" w:hAnsi="Calibri"/>
                <w:color w:val="333333"/>
                <w:sz w:val="19"/>
              </w:rPr>
              <w:t>60–90 days to content maturity</w:t>
            </w:r>
          </w:p>
        </w:tc>
      </w:tr>
      <w:tr>
        <w:tc>
          <w:tcPr>
            <w:tcW w:type="dxa" w:w="1800"/>
          </w:tcPr>
          <w:p>
            <w:r>
              <w:rPr>
                <w:rFonts w:ascii="Calibri" w:hAnsi="Calibri"/>
                <w:color w:val="333333"/>
                <w:sz w:val="19"/>
              </w:rPr>
              <w:t>SR-3: Nelson &amp; Lowy referral partnership</w:t>
            </w:r>
          </w:p>
        </w:tc>
        <w:tc>
          <w:tcPr>
            <w:tcW w:type="dxa" w:w="1800"/>
          </w:tcPr>
          <w:p>
            <w:r>
              <w:rPr>
                <w:rFonts w:ascii="Calibri" w:hAnsi="Calibri"/>
                <w:color w:val="333333"/>
                <w:sz w:val="19"/>
              </w:rPr>
              <w:t>+2–4 cases</w:t>
            </w:r>
          </w:p>
        </w:tc>
        <w:tc>
          <w:tcPr>
            <w:tcW w:type="dxa" w:w="1800"/>
          </w:tcPr>
          <w:p>
            <w:r>
              <w:rPr>
                <w:rFonts w:ascii="Calibri" w:hAnsi="Calibri"/>
                <w:color w:val="333333"/>
                <w:sz w:val="19"/>
              </w:rPr>
              <w:t>$15,000–$30,000</w:t>
            </w:r>
          </w:p>
        </w:tc>
        <w:tc>
          <w:tcPr>
            <w:tcW w:type="dxa" w:w="1800"/>
          </w:tcPr>
          <w:p>
            <w:r>
              <w:rPr>
                <w:rFonts w:ascii="Calibri" w:hAnsi="Calibri"/>
                <w:color w:val="333333"/>
                <w:sz w:val="19"/>
              </w:rPr>
              <w:t>Moderate–High</w:t>
            </w:r>
          </w:p>
        </w:tc>
        <w:tc>
          <w:tcPr>
            <w:tcW w:type="dxa" w:w="1800"/>
          </w:tcPr>
          <w:p>
            <w:r>
              <w:rPr>
                <w:rFonts w:ascii="Calibri" w:hAnsi="Calibri"/>
                <w:color w:val="333333"/>
                <w:sz w:val="19"/>
              </w:rPr>
              <w:t>30–60 days to first referral case</w:t>
            </w:r>
          </w:p>
        </w:tc>
      </w:tr>
      <w:tr>
        <w:tc>
          <w:tcPr>
            <w:tcW w:type="dxa" w:w="1800"/>
            <w:shd w:fill="F5F5F5" w:color="auto" w:val="clear"/>
          </w:tcPr>
          <w:p>
            <w:r>
              <w:rPr>
                <w:rFonts w:ascii="Calibri" w:hAnsi="Calibri"/>
                <w:color w:val="333333"/>
                <w:sz w:val="19"/>
              </w:rPr>
              <w:t>SR-4: Dormant patient reactivation campaign</w:t>
            </w:r>
          </w:p>
        </w:tc>
        <w:tc>
          <w:tcPr>
            <w:tcW w:type="dxa" w:w="1800"/>
            <w:shd w:fill="F5F5F5" w:color="auto" w:val="clear"/>
          </w:tcPr>
          <w:p>
            <w:r>
              <w:rPr>
                <w:rFonts w:ascii="Calibri" w:hAnsi="Calibri"/>
                <w:color w:val="333333"/>
                <w:sz w:val="19"/>
              </w:rPr>
              <w:t>+1–3 cases (one-time)</w:t>
            </w:r>
          </w:p>
        </w:tc>
        <w:tc>
          <w:tcPr>
            <w:tcW w:type="dxa" w:w="1800"/>
            <w:shd w:fill="F5F5F5" w:color="auto" w:val="clear"/>
          </w:tcPr>
          <w:p>
            <w:r>
              <w:rPr>
                <w:rFonts w:ascii="Calibri" w:hAnsi="Calibri"/>
                <w:color w:val="333333"/>
                <w:sz w:val="19"/>
              </w:rPr>
              <w:t>$7,500–$22,500</w:t>
            </w:r>
          </w:p>
        </w:tc>
        <w:tc>
          <w:tcPr>
            <w:tcW w:type="dxa" w:w="1800"/>
            <w:shd w:fill="F5F5F5" w:color="auto" w:val="clear"/>
          </w:tcPr>
          <w:p>
            <w:r>
              <w:rPr>
                <w:rFonts w:ascii="Calibri" w:hAnsi="Calibri"/>
                <w:color w:val="333333"/>
                <w:sz w:val="19"/>
              </w:rPr>
              <w:t>Moderate–High</w:t>
            </w:r>
          </w:p>
        </w:tc>
        <w:tc>
          <w:tcPr>
            <w:tcW w:type="dxa" w:w="1800"/>
            <w:shd w:fill="F5F5F5" w:color="auto" w:val="clear"/>
          </w:tcPr>
          <w:p>
            <w:r>
              <w:rPr>
                <w:rFonts w:ascii="Calibri" w:hAnsi="Calibri"/>
                <w:color w:val="333333"/>
                <w:sz w:val="19"/>
              </w:rPr>
              <w:t>2–3 weeks to first case</w:t>
            </w:r>
          </w:p>
        </w:tc>
      </w:tr>
      <w:tr>
        <w:tc>
          <w:tcPr>
            <w:tcW w:type="dxa" w:w="1800"/>
          </w:tcPr>
          <w:p>
            <w:r>
              <w:rPr>
                <w:rFonts w:ascii="Calibri" w:hAnsi="Calibri"/>
                <w:color w:val="333333"/>
                <w:sz w:val="19"/>
              </w:rPr>
              <w:t>LTI-1: Full website rebuild (both properties)</w:t>
            </w:r>
          </w:p>
        </w:tc>
        <w:tc>
          <w:tcPr>
            <w:tcW w:type="dxa" w:w="1800"/>
          </w:tcPr>
          <w:p>
            <w:r>
              <w:rPr>
                <w:rFonts w:ascii="Calibri" w:hAnsi="Calibri"/>
                <w:color w:val="333333"/>
                <w:sz w:val="19"/>
              </w:rPr>
              <w:t>+2–4 additional cases</w:t>
            </w:r>
          </w:p>
        </w:tc>
        <w:tc>
          <w:tcPr>
            <w:tcW w:type="dxa" w:w="1800"/>
          </w:tcPr>
          <w:p>
            <w:r>
              <w:rPr>
                <w:rFonts w:ascii="Calibri" w:hAnsi="Calibri"/>
                <w:color w:val="333333"/>
                <w:sz w:val="19"/>
              </w:rPr>
              <w:t>$15,000–$30,000</w:t>
            </w:r>
          </w:p>
        </w:tc>
        <w:tc>
          <w:tcPr>
            <w:tcW w:type="dxa" w:w="1800"/>
          </w:tcPr>
          <w:p>
            <w:r>
              <w:rPr>
                <w:rFonts w:ascii="Calibri" w:hAnsi="Calibri"/>
                <w:color w:val="333333"/>
                <w:sz w:val="19"/>
              </w:rPr>
              <w:t>Moderate</w:t>
            </w:r>
          </w:p>
        </w:tc>
        <w:tc>
          <w:tcPr>
            <w:tcW w:type="dxa" w:w="1800"/>
          </w:tcPr>
          <w:p>
            <w:r>
              <w:rPr>
                <w:rFonts w:ascii="Calibri" w:hAnsi="Calibri"/>
                <w:color w:val="333333"/>
                <w:sz w:val="19"/>
              </w:rPr>
              <w:t>90–120 days to full impact</w:t>
            </w:r>
          </w:p>
        </w:tc>
      </w:tr>
      <w:tr>
        <w:tc>
          <w:tcPr>
            <w:tcW w:type="dxa" w:w="1800"/>
            <w:shd w:fill="F5F5F5" w:color="auto" w:val="clear"/>
          </w:tcPr>
          <w:p>
            <w:r>
              <w:rPr>
                <w:rFonts w:ascii="Calibri" w:hAnsi="Calibri"/>
                <w:color w:val="333333"/>
                <w:sz w:val="19"/>
              </w:rPr>
              <w:t>LTI-2: YouTube authority channel (12 videos, 90 days)</w:t>
            </w:r>
          </w:p>
        </w:tc>
        <w:tc>
          <w:tcPr>
            <w:tcW w:type="dxa" w:w="1800"/>
            <w:shd w:fill="F5F5F5" w:color="auto" w:val="clear"/>
          </w:tcPr>
          <w:p>
            <w:r>
              <w:rPr>
                <w:rFonts w:ascii="Calibri" w:hAnsi="Calibri"/>
                <w:color w:val="333333"/>
                <w:sz w:val="19"/>
              </w:rPr>
              <w:t>+1–3 cases</w:t>
            </w:r>
          </w:p>
        </w:tc>
        <w:tc>
          <w:tcPr>
            <w:tcW w:type="dxa" w:w="1800"/>
            <w:shd w:fill="F5F5F5" w:color="auto" w:val="clear"/>
          </w:tcPr>
          <w:p>
            <w:r>
              <w:rPr>
                <w:rFonts w:ascii="Calibri" w:hAnsi="Calibri"/>
                <w:color w:val="333333"/>
                <w:sz w:val="19"/>
              </w:rPr>
              <w:t>$7,500–$22,500</w:t>
            </w:r>
          </w:p>
        </w:tc>
        <w:tc>
          <w:tcPr>
            <w:tcW w:type="dxa" w:w="1800"/>
            <w:shd w:fill="F5F5F5" w:color="auto" w:val="clear"/>
          </w:tcPr>
          <w:p>
            <w:r>
              <w:rPr>
                <w:rFonts w:ascii="Calibri" w:hAnsi="Calibri"/>
                <w:color w:val="333333"/>
                <w:sz w:val="19"/>
              </w:rPr>
              <w:t>Low–Moderate</w:t>
            </w:r>
          </w:p>
        </w:tc>
        <w:tc>
          <w:tcPr>
            <w:tcW w:type="dxa" w:w="1800"/>
            <w:shd w:fill="F5F5F5" w:color="auto" w:val="clear"/>
          </w:tcPr>
          <w:p>
            <w:r>
              <w:rPr>
                <w:rFonts w:ascii="Calibri" w:hAnsi="Calibri"/>
                <w:color w:val="333333"/>
                <w:sz w:val="19"/>
              </w:rPr>
              <w:t>90–180 days to search traffic maturity</w:t>
            </w:r>
          </w:p>
        </w:tc>
      </w:tr>
      <w:tr>
        <w:tc>
          <w:tcPr>
            <w:tcW w:type="dxa" w:w="1800"/>
          </w:tcPr>
          <w:p>
            <w:r>
              <w:rPr>
                <w:rFonts w:ascii="Calibri" w:hAnsi="Calibri"/>
                <w:color w:val="333333"/>
                <w:sz w:val="19"/>
              </w:rPr>
              <w:t>LTI-3: Email nurture system</w:t>
            </w:r>
          </w:p>
        </w:tc>
        <w:tc>
          <w:tcPr>
            <w:tcW w:type="dxa" w:w="1800"/>
          </w:tcPr>
          <w:p>
            <w:r>
              <w:rPr>
                <w:rFonts w:ascii="Calibri" w:hAnsi="Calibri"/>
                <w:color w:val="333333"/>
                <w:sz w:val="19"/>
              </w:rPr>
              <w:t>+1–2 cases</w:t>
            </w:r>
          </w:p>
        </w:tc>
        <w:tc>
          <w:tcPr>
            <w:tcW w:type="dxa" w:w="1800"/>
          </w:tcPr>
          <w:p>
            <w:r>
              <w:rPr>
                <w:rFonts w:ascii="Calibri" w:hAnsi="Calibri"/>
                <w:color w:val="333333"/>
                <w:sz w:val="19"/>
              </w:rPr>
              <w:t>$7,500–$15,000</w:t>
            </w:r>
          </w:p>
        </w:tc>
        <w:tc>
          <w:tcPr>
            <w:tcW w:type="dxa" w:w="1800"/>
          </w:tcPr>
          <w:p>
            <w:r>
              <w:rPr>
                <w:rFonts w:ascii="Calibri" w:hAnsi="Calibri"/>
                <w:color w:val="333333"/>
                <w:sz w:val="19"/>
              </w:rPr>
              <w:t>Low–Moderate</w:t>
            </w:r>
          </w:p>
        </w:tc>
        <w:tc>
          <w:tcPr>
            <w:tcW w:type="dxa" w:w="1800"/>
          </w:tcPr>
          <w:p>
            <w:r>
              <w:rPr>
                <w:rFonts w:ascii="Calibri" w:hAnsi="Calibri"/>
                <w:color w:val="333333"/>
                <w:sz w:val="19"/>
              </w:rPr>
              <w:t>90–120 days to nurture cycle maturity</w:t>
            </w:r>
          </w:p>
        </w:tc>
      </w:tr>
      <w:tr>
        <w:tc>
          <w:tcPr>
            <w:tcW w:type="dxa" w:w="1800"/>
            <w:shd w:fill="2D6A8A" w:color="auto" w:val="clear"/>
          </w:tcPr>
          <w:p>
            <w:r>
              <w:rPr>
                <w:rFonts w:ascii="Calibri" w:hAnsi="Calibri"/>
                <w:b/>
                <w:color w:val="FFFFFF"/>
                <w:sz w:val="19"/>
              </w:rPr>
              <w:t>Total Potential (at full maturity, 12 months)</w:t>
            </w:r>
          </w:p>
        </w:tc>
        <w:tc>
          <w:tcPr>
            <w:tcW w:type="dxa" w:w="1800"/>
            <w:shd w:fill="2D6A8A" w:color="auto" w:val="clear"/>
          </w:tcPr>
          <w:p>
            <w:r>
              <w:rPr>
                <w:rFonts w:ascii="Calibri" w:hAnsi="Calibri"/>
                <w:b/>
                <w:color w:val="FFFFFF"/>
                <w:sz w:val="19"/>
              </w:rPr>
              <w:t>+14–28 additional implant cases/month</w:t>
            </w:r>
          </w:p>
        </w:tc>
        <w:tc>
          <w:tcPr>
            <w:tcW w:type="dxa" w:w="1800"/>
            <w:shd w:fill="2D6A8A" w:color="auto" w:val="clear"/>
          </w:tcPr>
          <w:p>
            <w:r>
              <w:rPr>
                <w:rFonts w:ascii="Calibri" w:hAnsi="Calibri"/>
                <w:b/>
                <w:color w:val="FFFFFF"/>
                <w:sz w:val="19"/>
              </w:rPr>
              <w:t>$105,000–$210,000/month gross</w:t>
            </w:r>
          </w:p>
        </w:tc>
        <w:tc>
          <w:tcPr>
            <w:tcW w:type="dxa" w:w="1800"/>
            <w:shd w:fill="2D6A8A" w:color="auto" w:val="clear"/>
          </w:tcPr>
          <w:p>
            <w:r>
              <w:rPr>
                <w:rFonts w:ascii="Calibri" w:hAnsi="Calibri"/>
                <w:b/>
                <w:color w:val="FFFFFF"/>
                <w:sz w:val="19"/>
              </w:rPr>
            </w:r>
          </w:p>
        </w:tc>
        <w:tc>
          <w:tcPr>
            <w:tcW w:type="dxa" w:w="1800"/>
            <w:shd w:fill="2D6A8A" w:color="auto" w:val="clear"/>
          </w:tcPr>
          <w:p>
            <w:r>
              <w:rPr>
                <w:rFonts w:ascii="Calibri" w:hAnsi="Calibri"/>
                <w:b/>
                <w:color w:val="FFFFFF"/>
                <w:sz w:val="19"/>
              </w:rPr>
              <w:t>6–12 months</w:t>
            </w:r>
          </w:p>
        </w:tc>
      </w:tr>
    </w:tbl>
    <w:p/>
    <w:p>
      <w:pPr>
        <w:spacing w:before="0" w:after="60"/>
      </w:pPr>
    </w:p>
    <w:p>
      <w:pPr>
        <w:spacing w:before="80" w:after="40"/>
        <w:ind w:left="360"/>
      </w:pPr>
      <w:r>
        <w:rPr>
          <w:rFonts w:ascii="Calibri" w:hAnsi="Calibri"/>
          <w:i/>
          <w:color w:val="58585A"/>
          <w:sz w:val="20"/>
        </w:rPr>
        <w:t>"At full maturity" means all recommendations are implemented and have been given the time noted to take hold. The total assumes the practice has the clinical capacity to handle increased implant volume. Net revenue impact will depend on practice overhead and case mix. These gross estimates are not a 12-month total — they are the recurring monthly figure at full system maturity.</w:t>
      </w:r>
    </w:p>
    <w:p>
      <w:pPr>
        <w:spacing w:before="0" w:after="60"/>
      </w:pPr>
    </w:p>
    <w:p>
      <w:pPr>
        <w:spacing w:before="80" w:after="40"/>
        <w:ind w:left="360"/>
      </w:pPr>
      <w:r>
        <w:rPr>
          <w:rFonts w:ascii="Calibri" w:hAnsi="Calibri"/>
          <w:i/>
          <w:color w:val="58585A"/>
          <w:sz w:val="20"/>
        </w:rPr>
        <w:t>Conservative estimate for Year 1 new implant revenue (accounting for ramp): $420,000–$840,000 in incremental gross production.</w:t>
      </w:r>
    </w:p>
    <w:p>
      <w:pPr>
        <w:spacing w:before="0" w:after="60"/>
      </w:pPr>
    </w:p>
    <w:p>
      <w:pPr>
        <w:spacing w:before="80" w:after="80"/>
        <w:pBdr>
          <w:bottom w:val="single" w:sz="6" w:space="1" w:color="25aae1"/>
        </w:pBdr>
      </w:pPr>
    </w:p>
    <w:p>
      <w:pPr>
        <w:spacing w:before="0" w:after="60"/>
      </w:pPr>
    </w:p>
    <w:p>
      <w:r>
        <w:br w:type="page"/>
      </w:r>
    </w:p>
    <w:p>
      <w:pPr>
        <w:spacing w:before="0" w:after="160"/>
        <w:pBdr>
          <w:bottom w:val="single" w:sz="8" w:space="1" w:color="25aae1"/>
        </w:pBdr>
      </w:pPr>
      <w:r>
        <w:rPr>
          <w:rFonts w:ascii="Calibri" w:hAnsi="Calibri"/>
          <w:b/>
          <w:color w:val="25AAE1"/>
          <w:sz w:val="40"/>
        </w:rPr>
        <w:t>Cross-Team Handoffs</w:t>
      </w:r>
    </w:p>
    <w:p>
      <w:pPr>
        <w:spacing w:before="0" w:after="60"/>
      </w:pPr>
    </w:p>
    <w:tbl>
      <w:tblPr>
        <w:tblStyle w:val="TableGrid"/>
        <w:tblW w:type="auto" w:w="0"/>
        <w:tblLook w:firstColumn="1" w:firstRow="1" w:lastColumn="0" w:lastRow="0" w:noHBand="0" w:noVBand="1" w:val="04A0"/>
      </w:tblPr>
      <w:tblGrid>
        <w:gridCol w:w="3000"/>
        <w:gridCol w:w="3000"/>
        <w:gridCol w:w="3000"/>
      </w:tblGrid>
      <w:tr>
        <w:tc>
          <w:tcPr>
            <w:tcW w:type="dxa" w:w="3000"/>
            <w:shd w:fill="25aae1" w:color="auto" w:val="clear"/>
          </w:tcPr>
          <w:p>
            <w:pPr>
              <w:jc w:val="center"/>
            </w:pPr>
            <w:r>
              <w:rPr>
                <w:rFonts w:ascii="Calibri" w:hAnsi="Calibri"/>
                <w:b/>
                <w:color w:val="FFFFFF"/>
                <w:sz w:val="19"/>
              </w:rPr>
              <w:t>Finding Area</w:t>
            </w:r>
          </w:p>
        </w:tc>
        <w:tc>
          <w:tcPr>
            <w:tcW w:type="dxa" w:w="3000"/>
            <w:shd w:fill="25aae1" w:color="auto" w:val="clear"/>
          </w:tcPr>
          <w:p>
            <w:pPr>
              <w:jc w:val="center"/>
            </w:pPr>
            <w:r>
              <w:rPr>
                <w:rFonts w:ascii="Calibri" w:hAnsi="Calibri"/>
                <w:b/>
                <w:color w:val="FFFFFF"/>
                <w:sz w:val="19"/>
              </w:rPr>
              <w:t>Handoff To</w:t>
            </w:r>
          </w:p>
        </w:tc>
        <w:tc>
          <w:tcPr>
            <w:tcW w:type="dxa" w:w="3000"/>
            <w:shd w:fill="25aae1" w:color="auto" w:val="clear"/>
          </w:tcPr>
          <w:p>
            <w:pPr>
              <w:jc w:val="center"/>
            </w:pPr>
            <w:r>
              <w:rPr>
                <w:rFonts w:ascii="Calibri" w:hAnsi="Calibri"/>
                <w:b/>
                <w:color w:val="FFFFFF"/>
                <w:sz w:val="19"/>
              </w:rPr>
              <w:t>Action</w:t>
            </w:r>
          </w:p>
        </w:tc>
      </w:tr>
      <w:tr>
        <w:tc>
          <w:tcPr>
            <w:tcW w:type="dxa" w:w="3000"/>
          </w:tcPr>
          <w:p>
            <w:r>
              <w:rPr>
                <w:rFonts w:ascii="Calibri" w:hAnsi="Calibri"/>
                <w:color w:val="333333"/>
                <w:sz w:val="19"/>
              </w:rPr>
              <w:t>Complete messaging overhaul (both sites)</w:t>
            </w:r>
          </w:p>
        </w:tc>
        <w:tc>
          <w:tcPr>
            <w:tcW w:type="dxa" w:w="3000"/>
          </w:tcPr>
          <w:p>
            <w:r>
              <w:rPr>
                <w:rFonts w:ascii="Calibri" w:hAnsi="Calibri"/>
                <w:color w:val="333333"/>
                <w:sz w:val="19"/>
              </w:rPr>
              <w:t>Vivienne Carr, CMO → Audrey Voss (Full-Site Web Copy)</w:t>
            </w:r>
          </w:p>
        </w:tc>
        <w:tc>
          <w:tcPr>
            <w:tcW w:type="dxa" w:w="3000"/>
          </w:tcPr>
          <w:p>
            <w:r>
              <w:rPr>
                <w:rFonts w:ascii="Calibri" w:hAnsi="Calibri"/>
                <w:color w:val="333333"/>
                <w:sz w:val="19"/>
              </w:rPr>
              <w:t>Rebuild all copy on hedgesdental.com and toplouisvilledentist.com; implant authority positioning throughout</w:t>
            </w:r>
          </w:p>
        </w:tc>
      </w:tr>
      <w:tr>
        <w:tc>
          <w:tcPr>
            <w:tcW w:type="dxa" w:w="3000"/>
            <w:shd w:fill="F5F5F5" w:color="auto" w:val="clear"/>
          </w:tcPr>
          <w:p>
            <w:r>
              <w:rPr>
                <w:rFonts w:ascii="Calibri" w:hAnsi="Calibri"/>
                <w:color w:val="333333"/>
                <w:sz w:val="19"/>
              </w:rPr>
              <w:t>Patient transformation stories</w:t>
            </w:r>
          </w:p>
        </w:tc>
        <w:tc>
          <w:tcPr>
            <w:tcW w:type="dxa" w:w="3000"/>
            <w:shd w:fill="F5F5F5" w:color="auto" w:val="clear"/>
          </w:tcPr>
          <w:p>
            <w:r>
              <w:rPr>
                <w:rFonts w:ascii="Calibri" w:hAnsi="Calibri"/>
                <w:color w:val="333333"/>
                <w:sz w:val="19"/>
              </w:rPr>
              <w:t>Vivienne Carr, CMO → Oliver Grant (Case Study Writer)</w:t>
            </w:r>
          </w:p>
        </w:tc>
        <w:tc>
          <w:tcPr>
            <w:tcW w:type="dxa" w:w="3000"/>
            <w:shd w:fill="F5F5F5" w:color="auto" w:val="clear"/>
          </w:tcPr>
          <w:p>
            <w:r>
              <w:rPr>
                <w:rFonts w:ascii="Calibri" w:hAnsi="Calibri"/>
                <w:color w:val="333333"/>
                <w:sz w:val="19"/>
              </w:rPr>
              <w:t>3–5 case studies with patient narrative, before/after, quote pull for web + social</w:t>
            </w:r>
          </w:p>
        </w:tc>
      </w:tr>
      <w:tr>
        <w:tc>
          <w:tcPr>
            <w:tcW w:type="dxa" w:w="3000"/>
          </w:tcPr>
          <w:p>
            <w:r>
              <w:rPr>
                <w:rFonts w:ascii="Calibri" w:hAnsi="Calibri"/>
                <w:color w:val="333333"/>
                <w:sz w:val="19"/>
              </w:rPr>
              <w:t>Implant page headlines and CTAs</w:t>
            </w:r>
          </w:p>
        </w:tc>
        <w:tc>
          <w:tcPr>
            <w:tcW w:type="dxa" w:w="3000"/>
          </w:tcPr>
          <w:p>
            <w:r>
              <w:rPr>
                <w:rFonts w:ascii="Calibri" w:hAnsi="Calibri"/>
                <w:color w:val="333333"/>
                <w:sz w:val="19"/>
              </w:rPr>
              <w:t>Vivienne Carr, CMO → Cade Morrison (Headlines) + Declan Reyes (Hooks)</w:t>
            </w:r>
          </w:p>
        </w:tc>
        <w:tc>
          <w:tcPr>
            <w:tcW w:type="dxa" w:w="3000"/>
          </w:tcPr>
          <w:p>
            <w:r>
              <w:rPr>
                <w:rFonts w:ascii="Calibri" w:hAnsi="Calibri"/>
                <w:color w:val="333333"/>
                <w:sz w:val="19"/>
              </w:rPr>
              <w:t>Headline variants for all implant pages; hooks for YouTube and email</w:t>
            </w:r>
          </w:p>
        </w:tc>
      </w:tr>
      <w:tr>
        <w:tc>
          <w:tcPr>
            <w:tcW w:type="dxa" w:w="3000"/>
            <w:shd w:fill="F5F5F5" w:color="auto" w:val="clear"/>
          </w:tcPr>
          <w:p>
            <w:r>
              <w:rPr>
                <w:rFonts w:ascii="Calibri" w:hAnsi="Calibri"/>
                <w:color w:val="333333"/>
                <w:sz w:val="19"/>
              </w:rPr>
              <w:t>ClearChoice counter-positioning strategy</w:t>
            </w:r>
          </w:p>
        </w:tc>
        <w:tc>
          <w:tcPr>
            <w:tcW w:type="dxa" w:w="3000"/>
            <w:shd w:fill="F5F5F5" w:color="auto" w:val="clear"/>
          </w:tcPr>
          <w:p>
            <w:r>
              <w:rPr>
                <w:rFonts w:ascii="Calibri" w:hAnsi="Calibri"/>
                <w:color w:val="333333"/>
                <w:sz w:val="19"/>
              </w:rPr>
              <w:t>Daniel Frost, CSO</w:t>
            </w:r>
          </w:p>
        </w:tc>
        <w:tc>
          <w:tcPr>
            <w:tcW w:type="dxa" w:w="3000"/>
            <w:shd w:fill="F5F5F5" w:color="auto" w:val="clear"/>
          </w:tcPr>
          <w:p>
            <w:r>
              <w:rPr>
                <w:rFonts w:ascii="Calibri" w:hAnsi="Calibri"/>
                <w:color w:val="333333"/>
                <w:sz w:val="19"/>
              </w:rPr>
              <w:t>Integrate into market analysis and 1-year strategic plan</w:t>
            </w:r>
          </w:p>
        </w:tc>
      </w:tr>
      <w:tr>
        <w:tc>
          <w:tcPr>
            <w:tcW w:type="dxa" w:w="3000"/>
          </w:tcPr>
          <w:p>
            <w:r>
              <w:rPr>
                <w:rFonts w:ascii="Calibri" w:hAnsi="Calibri"/>
                <w:color w:val="333333"/>
                <w:sz w:val="19"/>
              </w:rPr>
              <w:t>Nelson &amp; Lowy partnership + competitive landscape</w:t>
            </w:r>
          </w:p>
        </w:tc>
        <w:tc>
          <w:tcPr>
            <w:tcW w:type="dxa" w:w="3000"/>
          </w:tcPr>
          <w:p>
            <w:r>
              <w:rPr>
                <w:rFonts w:ascii="Calibri" w:hAnsi="Calibri"/>
                <w:color w:val="333333"/>
                <w:sz w:val="19"/>
              </w:rPr>
              <w:t>Daniel Frost, CSO</w:t>
            </w:r>
          </w:p>
        </w:tc>
        <w:tc>
          <w:tcPr>
            <w:tcW w:type="dxa" w:w="3000"/>
          </w:tcPr>
          <w:p>
            <w:r>
              <w:rPr>
                <w:rFonts w:ascii="Calibri" w:hAnsi="Calibri"/>
                <w:color w:val="333333"/>
                <w:sz w:val="19"/>
              </w:rPr>
              <w:t>Referral program design and competitor positioning integration</w:t>
            </w:r>
          </w:p>
        </w:tc>
      </w:tr>
      <w:tr>
        <w:tc>
          <w:tcPr>
            <w:tcW w:type="dxa" w:w="3000"/>
            <w:shd w:fill="F5F5F5" w:color="auto" w:val="clear"/>
          </w:tcPr>
          <w:p>
            <w:r>
              <w:rPr>
                <w:rFonts w:ascii="Calibri" w:hAnsi="Calibri"/>
                <w:color w:val="333333"/>
                <w:sz w:val="19"/>
              </w:rPr>
              <w:t>Website technical rebuild — both domains</w:t>
            </w:r>
          </w:p>
        </w:tc>
        <w:tc>
          <w:tcPr>
            <w:tcW w:type="dxa" w:w="3000"/>
            <w:shd w:fill="F5F5F5" w:color="auto" w:val="clear"/>
          </w:tcPr>
          <w:p>
            <w:r>
              <w:rPr>
                <w:rFonts w:ascii="Calibri" w:hAnsi="Calibri"/>
                <w:color w:val="333333"/>
                <w:sz w:val="19"/>
              </w:rPr>
              <w:t>Iris Nolan, CTO</w:t>
            </w:r>
          </w:p>
        </w:tc>
        <w:tc>
          <w:tcPr>
            <w:tcW w:type="dxa" w:w="3000"/>
            <w:shd w:fill="F5F5F5" w:color="auto" w:val="clear"/>
          </w:tcPr>
          <w:p>
            <w:r>
              <w:rPr>
                <w:rFonts w:ascii="Calibri" w:hAnsi="Calibri"/>
                <w:color w:val="333333"/>
                <w:sz w:val="19"/>
              </w:rPr>
              <w:t>Architecture decision on two-domain strategy, technical SEO, schema, conversion tracking setup</w:t>
            </w:r>
          </w:p>
        </w:tc>
      </w:tr>
      <w:tr>
        <w:tc>
          <w:tcPr>
            <w:tcW w:type="dxa" w:w="3000"/>
          </w:tcPr>
          <w:p>
            <w:r>
              <w:rPr>
                <w:rFonts w:ascii="Calibri" w:hAnsi="Calibri"/>
                <w:color w:val="333333"/>
                <w:sz w:val="19"/>
              </w:rPr>
              <w:t>CareCredit/financing callout + case acceptance system</w:t>
            </w:r>
          </w:p>
        </w:tc>
        <w:tc>
          <w:tcPr>
            <w:tcW w:type="dxa" w:w="3000"/>
          </w:tcPr>
          <w:p>
            <w:r>
              <w:rPr>
                <w:rFonts w:ascii="Calibri" w:hAnsi="Calibri"/>
                <w:color w:val="333333"/>
                <w:sz w:val="19"/>
              </w:rPr>
              <w:t>Tanya Blackwood, CRO</w:t>
            </w:r>
          </w:p>
        </w:tc>
        <w:tc>
          <w:tcPr>
            <w:tcW w:type="dxa" w:w="3000"/>
          </w:tcPr>
          <w:p>
            <w:r>
              <w:rPr>
                <w:rFonts w:ascii="Calibri" w:hAnsi="Calibri"/>
                <w:color w:val="333333"/>
                <w:sz w:val="19"/>
              </w:rPr>
              <w:t>Fast Cash Sprint™ activation — case acceptance training, financing framing, dormant patient reactivation</w:t>
            </w:r>
          </w:p>
        </w:tc>
      </w:tr>
      <w:tr>
        <w:tc>
          <w:tcPr>
            <w:tcW w:type="dxa" w:w="3000"/>
            <w:shd w:fill="F5F5F5" w:color="auto" w:val="clear"/>
          </w:tcPr>
          <w:p>
            <w:r>
              <w:rPr>
                <w:rFonts w:ascii="Calibri" w:hAnsi="Calibri"/>
                <w:color w:val="333333"/>
                <w:sz w:val="19"/>
              </w:rPr>
              <w:t>Email nurture sequence copy</w:t>
            </w:r>
          </w:p>
        </w:tc>
        <w:tc>
          <w:tcPr>
            <w:tcW w:type="dxa" w:w="3000"/>
            <w:shd w:fill="F5F5F5" w:color="auto" w:val="clear"/>
          </w:tcPr>
          <w:p>
            <w:r>
              <w:rPr>
                <w:rFonts w:ascii="Calibri" w:hAnsi="Calibri"/>
                <w:color w:val="333333"/>
                <w:sz w:val="19"/>
              </w:rPr>
              <w:t>Vivienne Carr, CMO → Rhett Callahan (Email Sequence Writer)</w:t>
            </w:r>
          </w:p>
        </w:tc>
        <w:tc>
          <w:tcPr>
            <w:tcW w:type="dxa" w:w="3000"/>
            <w:shd w:fill="F5F5F5" w:color="auto" w:val="clear"/>
          </w:tcPr>
          <w:p>
            <w:r>
              <w:rPr>
                <w:rFonts w:ascii="Calibri" w:hAnsi="Calibri"/>
                <w:color w:val="333333"/>
                <w:sz w:val="19"/>
              </w:rPr>
              <w:t>6-email implant nurture sequence for lead magnet opt-ins</w:t>
            </w:r>
          </w:p>
        </w:tc>
      </w:tr>
      <w:tr>
        <w:tc>
          <w:tcPr>
            <w:tcW w:type="dxa" w:w="3000"/>
          </w:tcPr>
          <w:p>
            <w:r>
              <w:rPr>
                <w:rFonts w:ascii="Calibri" w:hAnsi="Calibri"/>
                <w:color w:val="333333"/>
                <w:sz w:val="19"/>
              </w:rPr>
              <w:t>YouTube content strategy</w:t>
            </w:r>
          </w:p>
        </w:tc>
        <w:tc>
          <w:tcPr>
            <w:tcW w:type="dxa" w:w="3000"/>
          </w:tcPr>
          <w:p>
            <w:r>
              <w:rPr>
                <w:rFonts w:ascii="Calibri" w:hAnsi="Calibri"/>
                <w:color w:val="333333"/>
                <w:sz w:val="19"/>
              </w:rPr>
              <w:t>Vivienne Carr, CMO → Owen Drake (High-Retention YouTube Scripts)</w:t>
            </w:r>
          </w:p>
        </w:tc>
        <w:tc>
          <w:tcPr>
            <w:tcW w:type="dxa" w:w="3000"/>
          </w:tcPr>
          <w:p>
            <w:r>
              <w:rPr>
                <w:rFonts w:ascii="Calibri" w:hAnsi="Calibri"/>
                <w:color w:val="333333"/>
                <w:sz w:val="19"/>
              </w:rPr>
              <w:t>12-video series, "Louisville's Implant Dentist" channel</w:t>
            </w:r>
          </w:p>
        </w:tc>
      </w:tr>
      <w:tr>
        <w:tc>
          <w:tcPr>
            <w:tcW w:type="dxa" w:w="3000"/>
            <w:shd w:fill="F5F5F5" w:color="auto" w:val="clear"/>
          </w:tcPr>
          <w:p>
            <w:r>
              <w:rPr>
                <w:rFonts w:ascii="Calibri" w:hAnsi="Calibri"/>
                <w:color w:val="333333"/>
                <w:sz w:val="19"/>
              </w:rPr>
              <w:t>Google Ads (when foundation is ready)</w:t>
            </w:r>
          </w:p>
        </w:tc>
        <w:tc>
          <w:tcPr>
            <w:tcW w:type="dxa" w:w="3000"/>
            <w:shd w:fill="F5F5F5" w:color="auto" w:val="clear"/>
          </w:tcPr>
          <w:p>
            <w:r>
              <w:rPr>
                <w:rFonts w:ascii="Calibri" w:hAnsi="Calibri"/>
                <w:color w:val="333333"/>
                <w:sz w:val="19"/>
              </w:rPr>
              <w:t>Tanya Blackwood, CRO → Jordan Merritt (Paid Media)</w:t>
            </w:r>
          </w:p>
        </w:tc>
        <w:tc>
          <w:tcPr>
            <w:tcW w:type="dxa" w:w="3000"/>
            <w:shd w:fill="F5F5F5" w:color="auto" w:val="clear"/>
          </w:tcPr>
          <w:p>
            <w:r>
              <w:rPr>
                <w:rFonts w:ascii="Calibri" w:hAnsi="Calibri"/>
                <w:color w:val="333333"/>
                <w:sz w:val="19"/>
              </w:rPr>
              <w:t>Google Ads targeting "dental implants Louisville KY" and "ClearChoice alternative Louisville" — NOT before website rebuild is complete</w:t>
            </w:r>
          </w:p>
        </w:tc>
      </w:tr>
    </w:tbl>
    <w:p/>
    <w:p>
      <w:pPr>
        <w:spacing w:before="0" w:after="60"/>
      </w:pPr>
    </w:p>
    <w:p>
      <w:pPr>
        <w:spacing w:before="80" w:after="80"/>
        <w:pBdr>
          <w:bottom w:val="single" w:sz="6" w:space="1" w:color="25aae1"/>
        </w:pBdr>
      </w:pPr>
    </w:p>
    <w:p>
      <w:pPr>
        <w:spacing w:before="0" w:after="60"/>
      </w:pPr>
    </w:p>
    <w:p>
      <w:r>
        <w:br w:type="page"/>
      </w:r>
    </w:p>
    <w:p>
      <w:pPr>
        <w:spacing w:before="0" w:after="160"/>
        <w:pBdr>
          <w:bottom w:val="single" w:sz="8" w:space="1" w:color="25aae1"/>
        </w:pBdr>
      </w:pPr>
      <w:r>
        <w:rPr>
          <w:rFonts w:ascii="Calibri" w:hAnsi="Calibri"/>
          <w:b/>
          <w:color w:val="25AAE1"/>
          <w:sz w:val="40"/>
        </w:rPr>
        <w:t>Next Steps</w:t>
      </w:r>
    </w:p>
    <w:p>
      <w:pPr>
        <w:spacing w:before="0" w:after="60"/>
      </w:pPr>
    </w:p>
    <w:p>
      <w:pPr>
        <w:pStyle w:val="ListNumber"/>
        <w:spacing w:before="40" w:after="40" w:line="312" w:lineRule="auto"/>
      </w:pPr>
      <w:r>
        <w:rPr>
          <w:rFonts w:ascii="Calibri" w:hAnsi="Calibri"/>
          <w:b/>
          <w:color w:val="333333"/>
          <w:sz w:val="22"/>
        </w:rPr>
        <w:t>This week:</w:t>
      </w:r>
      <w:r>
        <w:rPr>
          <w:rFonts w:ascii="Georgia" w:hAnsi="Georgia"/>
          <w:color w:val="333333"/>
          <w:sz w:val="22"/>
        </w:rPr>
        <w:t xml:space="preserve"> Implement all 7 Quick Wins — headline replacement, CareCredit callout, Google Business Profile optimization, and review generation sequence setup. These cost nothing and begin repositioning immediately.</w:t>
      </w:r>
    </w:p>
    <w:p>
      <w:pPr>
        <w:spacing w:before="0" w:after="60"/>
      </w:pPr>
    </w:p>
    <w:p>
      <w:pPr>
        <w:pStyle w:val="ListNumber"/>
        <w:spacing w:before="40" w:after="40" w:line="312" w:lineRule="auto"/>
      </w:pPr>
      <w:r>
        <w:rPr>
          <w:rFonts w:ascii="Calibri" w:hAnsi="Calibri"/>
          <w:b/>
          <w:color w:val="333333"/>
          <w:sz w:val="22"/>
        </w:rPr>
        <w:t>This month:</w:t>
      </w:r>
      <w:r>
        <w:rPr>
          <w:rFonts w:ascii="Georgia" w:hAnsi="Georgia"/>
          <w:color w:val="333333"/>
          <w:sz w:val="22"/>
        </w:rPr>
        <w:t xml:space="preserve"> Begin toplouisvilledentist.com rebuild as the dedicated implant authority site (SR-1). Initiate the Nelson &amp; Lowy conversation (SR-3). Run the dormant patient reactivation campaign (SR-4). Identify 3 implant patients for transformation stories.</w:t>
      </w:r>
    </w:p>
    <w:p>
      <w:pPr>
        <w:spacing w:before="0" w:after="60"/>
      </w:pPr>
    </w:p>
    <w:p>
      <w:pPr>
        <w:pStyle w:val="ListNumber"/>
        <w:spacing w:before="40" w:after="40" w:line="312" w:lineRule="auto"/>
      </w:pPr>
      <w:r>
        <w:rPr>
          <w:rFonts w:ascii="Calibri" w:hAnsi="Calibri"/>
          <w:b/>
          <w:color w:val="333333"/>
          <w:sz w:val="22"/>
        </w:rPr>
        <w:t>This quarter:</w:t>
      </w:r>
      <w:r>
        <w:rPr>
          <w:rFonts w:ascii="Georgia" w:hAnsi="Georgia"/>
          <w:color w:val="333333"/>
          <w:sz w:val="22"/>
        </w:rPr>
        <w:t xml:space="preserve"> Complete full website rebuild on both properties. Launch YouTube channel with first 6 videos. Deploy email nurture system. Target: 30+ Google reviews, first confirmed referral from Nelson &amp; Lowy, 5+ additional implant cases per month vs. current baseline.</w:t>
      </w:r>
    </w:p>
    <w:p>
      <w:pPr>
        <w:spacing w:before="0" w:after="60"/>
      </w:pPr>
    </w:p>
    <w:p>
      <w:pPr>
        <w:spacing w:before="80" w:after="80"/>
        <w:pBdr>
          <w:bottom w:val="single" w:sz="6" w:space="1" w:color="25aae1"/>
        </w:pBdr>
      </w:pPr>
    </w:p>
    <w:p>
      <w:pPr>
        <w:spacing w:before="0" w:after="60"/>
      </w:pPr>
    </w:p>
    <w:p>
      <w:pPr>
        <w:spacing w:before="80" w:after="40"/>
        <w:ind w:left="360"/>
      </w:pPr>
      <w:r>
        <w:rPr>
          <w:rFonts w:ascii="Calibri" w:hAnsi="Calibri"/>
          <w:i/>
          <w:color w:val="58585A"/>
          <w:sz w:val="20"/>
        </w:rPr>
        <w:t>Authority Systems Group™ — Confidential. Prepared exclusively for Dr. Jeffrey Hedges / Hedges Dental.</w:t>
      </w:r>
    </w:p>
    <w:p>
      <w:pPr>
        <w:spacing w:before="80" w:after="40"/>
        <w:ind w:left="360"/>
      </w:pPr>
      <w:r>
        <w:rPr>
          <w:rFonts w:ascii="Calibri" w:hAnsi="Calibri"/>
          <w:i/>
          <w:color w:val="58585A"/>
          <w:sz w:val="20"/>
        </w:rPr>
        <w:t>Digital Intelligence Division | Director: Victor Hale</w:t>
      </w:r>
    </w:p>
    <w:p>
      <w:pPr>
        <w:spacing w:before="80" w:after="40"/>
        <w:ind w:left="360"/>
      </w:pPr>
      <w:r>
        <w:rPr>
          <w:rFonts w:ascii="Calibri" w:hAnsi="Calibri"/>
          <w:i/>
          <w:color w:val="58585A"/>
          <w:sz w:val="20"/>
        </w:rPr>
        <w:t>Specialist team: Lena Park (Content &amp; Messaging) · Marcus Cole (Conversion) · Anika Suri (SEO) · Reid Foster (Competitive Intelligence) · Clay Donovan (Brand &amp; Growth)</w:t>
      </w:r>
    </w:p>
    <w:p>
      <w:pPr>
        <w:spacing w:before="80" w:after="40"/>
        <w:ind w:left="360"/>
      </w:pPr>
      <w:r>
        <w:rPr>
          <w:rFonts w:ascii="Calibri" w:hAnsi="Calibri"/>
          <w:i/>
          <w:color w:val="58585A"/>
          <w:sz w:val="20"/>
        </w:rPr>
        <w:t>Cross-team integration: Daniel Frost (CSO) · Vivienne Carr (CMO) · Iris Nolan (CTO) · Tanya Blackwood (CRO)</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8"/>
      </w:rPr>
      <w:t>Authority Systems Group™ — Confidential. Prepared exclusively for Dr. Jeffrey Hedges / Hedges Dental.</w:t>
    </w:r>
    <w:r>
      <w:tab/>
    </w:r>
    <w:r>
      <w:rPr>
        <w:rFonts w:ascii="Calibri" w:hAnsi="Calibri"/>
        <w:color w:val="888888"/>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Audit — Hedges Dental</dc:title>
  <dc:subject>Digital Authority Assessment</dc:subject>
  <dc:creator>Authority Systems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