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A2533" w:color="auto" w:val="clear"/>
        <w:spacing w:before="0" w:after="0"/>
      </w:pPr>
      <w:r>
        <w:t xml:space="preserve">  </w:t>
      </w:r>
    </w:p>
    <w:p>
      <w:pPr>
        <w:spacing w:before="600" w:after="0"/>
        <w:jc w:val="left"/>
      </w:pPr>
      <w:r>
        <w:drawing>
          <wp:inline xmlns:a="http://schemas.openxmlformats.org/drawingml/2006/main" xmlns:pic="http://schemas.openxmlformats.org/drawingml/2006/picture">
            <wp:extent cx="2194560" cy="1055252"/>
            <wp:docPr id="1" name="Picture 1"/>
            <wp:cNvGraphicFramePr>
              <a:graphicFrameLocks noChangeAspect="1"/>
            </wp:cNvGraphicFramePr>
            <a:graphic>
              <a:graphicData uri="http://schemas.openxmlformats.org/drawingml/2006/picture">
                <pic:pic>
                  <pic:nvPicPr>
                    <pic:cNvPr id="0" name="asgFull.png"/>
                    <pic:cNvPicPr/>
                  </pic:nvPicPr>
                  <pic:blipFill>
                    <a:blip r:embed="rId11"/>
                    <a:stretch>
                      <a:fillRect/>
                    </a:stretch>
                  </pic:blipFill>
                  <pic:spPr>
                    <a:xfrm>
                      <a:off x="0" y="0"/>
                      <a:ext cx="2194560" cy="1055252"/>
                    </a:xfrm>
                    <a:prstGeom prst="rect"/>
                  </pic:spPr>
                </pic:pic>
              </a:graphicData>
            </a:graphic>
          </wp:inline>
        </w:drawing>
      </w:r>
    </w:p>
    <w:p>
      <w:pPr>
        <w:spacing w:before="0" w:after="400"/>
      </w:pPr>
    </w:p>
    <w:p>
      <w:pPr>
        <w:spacing w:before="0" w:after="120"/>
      </w:pPr>
      <w:r>
        <w:rPr>
          <w:rFonts w:ascii="Calibri" w:hAnsi="Calibri"/>
          <w:b/>
          <w:color w:val="25AAE1"/>
          <w:sz w:val="18"/>
        </w:rPr>
        <w:t>AUTHORITY SYSTEMS GROUP™  —  CONFIDENTIAL STRATEGIC DELIVERABLE</w:t>
      </w:r>
    </w:p>
    <w:p>
      <w:pPr>
        <w:spacing w:before="0" w:after="120"/>
      </w:pPr>
      <w:r>
        <w:rPr>
          <w:rFonts w:ascii="Calibri" w:hAnsi="Calibri"/>
          <w:b/>
          <w:color w:val="1A2533"/>
          <w:sz w:val="64"/>
        </w:rPr>
        <w:t>Authority Blueprint™</w:t>
      </w:r>
    </w:p>
    <w:p>
      <w:pPr>
        <w:spacing w:before="0" w:after="80"/>
      </w:pPr>
      <w:r>
        <w:rPr>
          <w:rFonts w:ascii="Calibri" w:hAnsi="Calibri"/>
          <w:b/>
          <w:color w:val="58585A"/>
          <w:sz w:val="32"/>
        </w:rPr>
        <w:t>Thomas E. Banks II, AAML Fellow</w:t>
      </w:r>
    </w:p>
    <w:p>
      <w:pPr>
        <w:spacing w:before="0" w:after="80"/>
      </w:pPr>
      <w:r>
        <w:rPr>
          <w:rFonts w:ascii="Calibri" w:hAnsi="Calibri"/>
          <w:color w:val="58585A"/>
          <w:sz w:val="22"/>
        </w:rPr>
        <w:t>Family Law Attorney  |  Kentucky &amp; Indiana  |  KentuckianaDivorceLawyer.com</w:t>
      </w:r>
    </w:p>
    <w:p>
      <w:pPr>
        <w:spacing w:before="80" w:after="80"/>
        <w:pBdr>
          <w:bottom w:val="single" w:sz="4" w:space="1" w:color="25AAE1"/>
        </w:pBdr>
      </w:pPr>
    </w:p>
    <w:p>
      <w:pPr>
        <w:spacing w:before="160" w:after="80"/>
      </w:pPr>
      <w:r>
        <w:rPr>
          <w:rFonts w:ascii="Calibri" w:hAnsi="Calibri"/>
          <w:color w:val="58585A"/>
          <w:sz w:val="19"/>
        </w:rPr>
        <w:t>Prepared: March 8, 2026     |     Director: Roger Bauer     |     Version 1.0</w:t>
      </w:r>
    </w:p>
    <w:p>
      <w:pPr>
        <w:spacing w:before="0" w:after="320"/>
      </w:pPr>
    </w:p>
    <w:tbl>
      <w:tblPr>
        <w:tblW w:type="auto" w:w="0"/>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shd w:fill="1A2533" w:color="auto" w:val="clear"/>
          </w:tcPr>
          <w:p>
            <w:pPr>
              <w:spacing w:before="160" w:after="160"/>
              <w:jc w:val="center"/>
            </w:pPr>
            <w:r>
              <w:rPr>
                <w:rFonts w:ascii="Calibri" w:hAnsi="Calibri"/>
                <w:b/>
                <w:color w:val="C9A02C"/>
                <w:sz w:val="20"/>
              </w:rPr>
              <w:t>AAML Fellow</w:t>
              <w:br/>
            </w:r>
            <w:r>
              <w:rPr>
                <w:rFonts w:ascii="Calibri" w:hAnsi="Calibri"/>
                <w:color w:val="FFFFFF"/>
                <w:sz w:val="16"/>
              </w:rPr>
              <w:t>Top 2% Globally</w:t>
              <w:br/>
              <w:t>&lt;1,600 Worldwide</w:t>
            </w:r>
          </w:p>
        </w:tc>
        <w:tc>
          <w:tcPr>
            <w:tcW w:type="dxa" w:w="2340"/>
            <w:shd w:fill="1A2533" w:color="auto" w:val="clear"/>
          </w:tcPr>
          <w:p>
            <w:pPr>
              <w:spacing w:before="160" w:after="160"/>
              <w:jc w:val="center"/>
            </w:pPr>
            <w:r>
              <w:rPr>
                <w:rFonts w:ascii="Calibri" w:hAnsi="Calibri"/>
                <w:b/>
                <w:color w:val="C9A02C"/>
                <w:sz w:val="20"/>
              </w:rPr>
              <w:t>Super Lawyers</w:t>
              <w:br/>
            </w:r>
            <w:r>
              <w:rPr>
                <w:rFonts w:ascii="Calibri" w:hAnsi="Calibri"/>
                <w:color w:val="FFFFFF"/>
                <w:sz w:val="16"/>
              </w:rPr>
              <w:t>2015–2026</w:t>
              <w:br/>
              <w:t>11 Consecutive Years</w:t>
            </w:r>
          </w:p>
        </w:tc>
        <w:tc>
          <w:tcPr>
            <w:tcW w:type="dxa" w:w="2340"/>
            <w:shd w:fill="1A2533" w:color="auto" w:val="clear"/>
          </w:tcPr>
          <w:p>
            <w:pPr>
              <w:spacing w:before="160" w:after="160"/>
              <w:jc w:val="center"/>
            </w:pPr>
            <w:r>
              <w:rPr>
                <w:rFonts w:ascii="Calibri" w:hAnsi="Calibri"/>
                <w:b/>
                <w:color w:val="C9A02C"/>
                <w:sz w:val="20"/>
              </w:rPr>
              <w:t>AV Preeminent</w:t>
              <w:br/>
            </w:r>
            <w:r>
              <w:rPr>
                <w:rFonts w:ascii="Calibri" w:hAnsi="Calibri"/>
                <w:color w:val="FFFFFF"/>
                <w:sz w:val="16"/>
              </w:rPr>
              <w:t>Martindale-Hubbell</w:t>
              <w:br/>
              <w:t>Highest Possible Rating</w:t>
            </w:r>
          </w:p>
        </w:tc>
        <w:tc>
          <w:tcPr>
            <w:tcW w:type="dxa" w:w="2340"/>
            <w:shd w:fill="1A2533" w:color="auto" w:val="clear"/>
          </w:tcPr>
          <w:p>
            <w:pPr>
              <w:spacing w:before="160" w:after="160"/>
              <w:jc w:val="center"/>
            </w:pPr>
            <w:r>
              <w:rPr>
                <w:rFonts w:ascii="Calibri" w:hAnsi="Calibri"/>
                <w:b/>
                <w:color w:val="C9A02C"/>
                <w:sz w:val="20"/>
              </w:rPr>
              <w:t>17+ Years</w:t>
              <w:br/>
            </w:r>
            <w:r>
              <w:rPr>
                <w:rFonts w:ascii="Calibri" w:hAnsi="Calibri"/>
                <w:color w:val="FFFFFF"/>
                <w:sz w:val="16"/>
              </w:rPr>
              <w:t>Exclusively KY &amp; IN</w:t>
              <w:br/>
              <w:t>Family Law</w:t>
            </w:r>
          </w:p>
        </w:tc>
      </w:tr>
    </w:tbl>
    <w:p>
      <w:pPr>
        <w:spacing w:before="0" w:after="320"/>
      </w:pPr>
    </w:p>
    <w:p>
      <w:pPr>
        <w:shd w:fill="EAF6FC" w:color="auto" w:val="clear"/>
        <w:spacing w:before="0" w:after="120"/>
        <w:ind w:left="216" w:right="216"/>
      </w:pPr>
      <w:r>
        <w:rPr>
          <w:rFonts w:ascii="Calibri" w:hAnsi="Calibri"/>
          <w:i/>
          <w:color w:val="333333"/>
          <w:sz w:val="20"/>
        </w:rPr>
        <w:t xml:space="preserve">  A complete 13-section strategic plan for building Thomas Banks' digital authority to match his credential standing in the Louisville and Southern Indiana family law market. Covers market analysis, Belief-to-Buy Framework mapping, 1-year strategic plan, Fast Cash Sprint, KPI dashboard, content strategy, niche website strategy, email sequences, lead magnets, and priority next steps.  </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720"/>
        <w:gridCol w:w="8640"/>
      </w:tblGrid>
      <w:tr>
        <w:tc>
          <w:tcPr>
            <w:tcW w:type="dxa" w:w="4680"/>
            <w:shd w:fill="EAF6FC" w:color="auto" w:val="clear"/>
          </w:tcPr>
          <w:p>
            <w:pPr>
              <w:spacing w:before="60" w:after="60"/>
              <w:jc w:val="center"/>
            </w:pPr>
            <w:r>
              <w:rPr>
                <w:rFonts w:ascii="Calibri" w:hAnsi="Calibri"/>
                <w:b/>
                <w:color w:val="25AAE1"/>
                <w:sz w:val="19"/>
              </w:rPr>
              <w:t>01</w:t>
            </w:r>
          </w:p>
        </w:tc>
        <w:tc>
          <w:tcPr>
            <w:tcW w:type="dxa" w:w="4680"/>
            <w:shd w:fill="EAF6FC" w:color="auto" w:val="clear"/>
          </w:tcPr>
          <w:p>
            <w:pPr>
              <w:spacing w:before="60" w:after="60"/>
            </w:pPr>
            <w:r>
              <w:rPr>
                <w:rFonts w:ascii="Calibri" w:hAnsi="Calibri"/>
                <w:color w:val="333333"/>
                <w:sz w:val="20"/>
              </w:rPr>
              <w:t>Executive Summary</w:t>
            </w:r>
          </w:p>
        </w:tc>
      </w:tr>
      <w:tr>
        <w:tc>
          <w:tcPr>
            <w:tcW w:type="dxa" w:w="4680"/>
            <w:shd w:fill="FFFFFF" w:color="auto" w:val="clear"/>
          </w:tcPr>
          <w:p>
            <w:pPr>
              <w:spacing w:before="60" w:after="60"/>
              <w:jc w:val="center"/>
            </w:pPr>
            <w:r>
              <w:rPr>
                <w:rFonts w:ascii="Calibri" w:hAnsi="Calibri"/>
                <w:b/>
                <w:color w:val="25AAE1"/>
                <w:sz w:val="19"/>
              </w:rPr>
              <w:t>02</w:t>
            </w:r>
          </w:p>
        </w:tc>
        <w:tc>
          <w:tcPr>
            <w:tcW w:type="dxa" w:w="4680"/>
            <w:shd w:fill="FFFFFF" w:color="auto" w:val="clear"/>
          </w:tcPr>
          <w:p>
            <w:pPr>
              <w:spacing w:before="60" w:after="60"/>
            </w:pPr>
            <w:r>
              <w:rPr>
                <w:rFonts w:ascii="Calibri" w:hAnsi="Calibri"/>
                <w:color w:val="333333"/>
                <w:sz w:val="20"/>
              </w:rPr>
              <w:t>Director's Briefing</w:t>
            </w:r>
          </w:p>
        </w:tc>
      </w:tr>
      <w:tr>
        <w:tc>
          <w:tcPr>
            <w:tcW w:type="dxa" w:w="4680"/>
            <w:shd w:fill="EAF6FC" w:color="auto" w:val="clear"/>
          </w:tcPr>
          <w:p>
            <w:pPr>
              <w:spacing w:before="60" w:after="60"/>
              <w:jc w:val="center"/>
            </w:pPr>
            <w:r>
              <w:rPr>
                <w:rFonts w:ascii="Calibri" w:hAnsi="Calibri"/>
                <w:b/>
                <w:color w:val="25AAE1"/>
                <w:sz w:val="19"/>
              </w:rPr>
              <w:t>03</w:t>
            </w:r>
          </w:p>
        </w:tc>
        <w:tc>
          <w:tcPr>
            <w:tcW w:type="dxa" w:w="4680"/>
            <w:shd w:fill="EAF6FC" w:color="auto" w:val="clear"/>
          </w:tcPr>
          <w:p>
            <w:pPr>
              <w:spacing w:before="60" w:after="60"/>
            </w:pPr>
            <w:r>
              <w:rPr>
                <w:rFonts w:ascii="Calibri" w:hAnsi="Calibri"/>
                <w:color w:val="333333"/>
                <w:sz w:val="20"/>
              </w:rPr>
              <w:t>Market Analysis</w:t>
            </w:r>
          </w:p>
        </w:tc>
      </w:tr>
      <w:tr>
        <w:tc>
          <w:tcPr>
            <w:tcW w:type="dxa" w:w="4680"/>
            <w:shd w:fill="FFFFFF" w:color="auto" w:val="clear"/>
          </w:tcPr>
          <w:p>
            <w:pPr>
              <w:spacing w:before="60" w:after="60"/>
              <w:jc w:val="center"/>
            </w:pPr>
            <w:r>
              <w:rPr>
                <w:rFonts w:ascii="Calibri" w:hAnsi="Calibri"/>
                <w:b/>
                <w:color w:val="25AAE1"/>
                <w:sz w:val="19"/>
              </w:rPr>
              <w:t>04</w:t>
            </w:r>
          </w:p>
        </w:tc>
        <w:tc>
          <w:tcPr>
            <w:tcW w:type="dxa" w:w="4680"/>
            <w:shd w:fill="FFFFFF" w:color="auto" w:val="clear"/>
          </w:tcPr>
          <w:p>
            <w:pPr>
              <w:spacing w:before="60" w:after="60"/>
            </w:pPr>
            <w:r>
              <w:rPr>
                <w:rFonts w:ascii="Calibri" w:hAnsi="Calibri"/>
                <w:color w:val="333333"/>
                <w:sz w:val="20"/>
              </w:rPr>
              <w:t>Belief-to-Buy Framework™ Map</w:t>
            </w:r>
          </w:p>
        </w:tc>
      </w:tr>
      <w:tr>
        <w:tc>
          <w:tcPr>
            <w:tcW w:type="dxa" w:w="4680"/>
            <w:shd w:fill="EAF6FC" w:color="auto" w:val="clear"/>
          </w:tcPr>
          <w:p>
            <w:pPr>
              <w:spacing w:before="60" w:after="60"/>
              <w:jc w:val="center"/>
            </w:pPr>
            <w:r>
              <w:rPr>
                <w:rFonts w:ascii="Calibri" w:hAnsi="Calibri"/>
                <w:b/>
                <w:color w:val="25AAE1"/>
                <w:sz w:val="19"/>
              </w:rPr>
              <w:t>05</w:t>
            </w:r>
          </w:p>
        </w:tc>
        <w:tc>
          <w:tcPr>
            <w:tcW w:type="dxa" w:w="4680"/>
            <w:shd w:fill="EAF6FC" w:color="auto" w:val="clear"/>
          </w:tcPr>
          <w:p>
            <w:pPr>
              <w:spacing w:before="60" w:after="60"/>
            </w:pPr>
            <w:r>
              <w:rPr>
                <w:rFonts w:ascii="Calibri" w:hAnsi="Calibri"/>
                <w:color w:val="333333"/>
                <w:sz w:val="20"/>
              </w:rPr>
              <w:t>1-Year Strategic Plan</w:t>
            </w:r>
          </w:p>
        </w:tc>
      </w:tr>
      <w:tr>
        <w:tc>
          <w:tcPr>
            <w:tcW w:type="dxa" w:w="4680"/>
            <w:shd w:fill="FFFFFF" w:color="auto" w:val="clear"/>
          </w:tcPr>
          <w:p>
            <w:pPr>
              <w:spacing w:before="60" w:after="60"/>
              <w:jc w:val="center"/>
            </w:pPr>
            <w:r>
              <w:rPr>
                <w:rFonts w:ascii="Calibri" w:hAnsi="Calibri"/>
                <w:b/>
                <w:color w:val="25AAE1"/>
                <w:sz w:val="19"/>
              </w:rPr>
              <w:t>06</w:t>
            </w:r>
          </w:p>
        </w:tc>
        <w:tc>
          <w:tcPr>
            <w:tcW w:type="dxa" w:w="4680"/>
            <w:shd w:fill="FFFFFF" w:color="auto" w:val="clear"/>
          </w:tcPr>
          <w:p>
            <w:pPr>
              <w:spacing w:before="60" w:after="60"/>
            </w:pPr>
            <w:r>
              <w:rPr>
                <w:rFonts w:ascii="Calibri" w:hAnsi="Calibri"/>
                <w:color w:val="333333"/>
                <w:sz w:val="20"/>
              </w:rPr>
              <w:t>Fast Cash Sprint™</w:t>
            </w:r>
          </w:p>
        </w:tc>
      </w:tr>
      <w:tr>
        <w:tc>
          <w:tcPr>
            <w:tcW w:type="dxa" w:w="4680"/>
            <w:shd w:fill="EAF6FC" w:color="auto" w:val="clear"/>
          </w:tcPr>
          <w:p>
            <w:pPr>
              <w:spacing w:before="60" w:after="60"/>
              <w:jc w:val="center"/>
            </w:pPr>
            <w:r>
              <w:rPr>
                <w:rFonts w:ascii="Calibri" w:hAnsi="Calibri"/>
                <w:b/>
                <w:color w:val="25AAE1"/>
                <w:sz w:val="19"/>
              </w:rPr>
              <w:t>07</w:t>
            </w:r>
          </w:p>
        </w:tc>
        <w:tc>
          <w:tcPr>
            <w:tcW w:type="dxa" w:w="4680"/>
            <w:shd w:fill="EAF6FC" w:color="auto" w:val="clear"/>
          </w:tcPr>
          <w:p>
            <w:pPr>
              <w:spacing w:before="60" w:after="60"/>
            </w:pPr>
            <w:r>
              <w:rPr>
                <w:rFonts w:ascii="Calibri" w:hAnsi="Calibri"/>
                <w:color w:val="333333"/>
                <w:sz w:val="20"/>
              </w:rPr>
              <w:t>KPI Dashboard</w:t>
            </w:r>
          </w:p>
        </w:tc>
      </w:tr>
      <w:tr>
        <w:tc>
          <w:tcPr>
            <w:tcW w:type="dxa" w:w="4680"/>
            <w:shd w:fill="FFFFFF" w:color="auto" w:val="clear"/>
          </w:tcPr>
          <w:p>
            <w:pPr>
              <w:spacing w:before="60" w:after="60"/>
              <w:jc w:val="center"/>
            </w:pPr>
            <w:r>
              <w:rPr>
                <w:rFonts w:ascii="Calibri" w:hAnsi="Calibri"/>
                <w:b/>
                <w:color w:val="25AAE1"/>
                <w:sz w:val="19"/>
              </w:rPr>
              <w:t>08</w:t>
            </w:r>
          </w:p>
        </w:tc>
        <w:tc>
          <w:tcPr>
            <w:tcW w:type="dxa" w:w="4680"/>
            <w:shd w:fill="FFFFFF" w:color="auto" w:val="clear"/>
          </w:tcPr>
          <w:p>
            <w:pPr>
              <w:spacing w:before="60" w:after="60"/>
            </w:pPr>
            <w:r>
              <w:rPr>
                <w:rFonts w:ascii="Calibri" w:hAnsi="Calibri"/>
                <w:color w:val="333333"/>
                <w:sz w:val="20"/>
              </w:rPr>
              <w:t>Content Authority Strategy™</w:t>
            </w:r>
          </w:p>
        </w:tc>
      </w:tr>
      <w:tr>
        <w:tc>
          <w:tcPr>
            <w:tcW w:type="dxa" w:w="4680"/>
            <w:shd w:fill="EAF6FC" w:color="auto" w:val="clear"/>
          </w:tcPr>
          <w:p>
            <w:pPr>
              <w:spacing w:before="60" w:after="60"/>
              <w:jc w:val="center"/>
            </w:pPr>
            <w:r>
              <w:rPr>
                <w:rFonts w:ascii="Calibri" w:hAnsi="Calibri"/>
                <w:b/>
                <w:color w:val="25AAE1"/>
                <w:sz w:val="19"/>
              </w:rPr>
              <w:t>09</w:t>
            </w:r>
          </w:p>
        </w:tc>
        <w:tc>
          <w:tcPr>
            <w:tcW w:type="dxa" w:w="4680"/>
            <w:shd w:fill="EAF6FC" w:color="auto" w:val="clear"/>
          </w:tcPr>
          <w:p>
            <w:pPr>
              <w:spacing w:before="60" w:after="60"/>
            </w:pPr>
            <w:r>
              <w:rPr>
                <w:rFonts w:ascii="Calibri" w:hAnsi="Calibri"/>
                <w:color w:val="333333"/>
                <w:sz w:val="20"/>
              </w:rPr>
              <w:t>Niche Website Strategy</w:t>
            </w:r>
          </w:p>
        </w:tc>
      </w:tr>
      <w:tr>
        <w:tc>
          <w:tcPr>
            <w:tcW w:type="dxa" w:w="4680"/>
            <w:shd w:fill="FFFFFF" w:color="auto" w:val="clear"/>
          </w:tcPr>
          <w:p>
            <w:pPr>
              <w:spacing w:before="60" w:after="60"/>
              <w:jc w:val="center"/>
            </w:pPr>
            <w:r>
              <w:rPr>
                <w:rFonts w:ascii="Calibri" w:hAnsi="Calibri"/>
                <w:b/>
                <w:color w:val="25AAE1"/>
                <w:sz w:val="19"/>
              </w:rPr>
              <w:t>10</w:t>
            </w:r>
          </w:p>
        </w:tc>
        <w:tc>
          <w:tcPr>
            <w:tcW w:type="dxa" w:w="4680"/>
            <w:shd w:fill="FFFFFF" w:color="auto" w:val="clear"/>
          </w:tcPr>
          <w:p>
            <w:pPr>
              <w:spacing w:before="60" w:after="60"/>
            </w:pPr>
            <w:r>
              <w:rPr>
                <w:rFonts w:ascii="Calibri" w:hAnsi="Calibri"/>
                <w:color w:val="333333"/>
                <w:sz w:val="20"/>
              </w:rPr>
              <w:t>Email Sequences</w:t>
            </w:r>
          </w:p>
        </w:tc>
      </w:tr>
      <w:tr>
        <w:tc>
          <w:tcPr>
            <w:tcW w:type="dxa" w:w="4680"/>
            <w:shd w:fill="EAF6FC" w:color="auto" w:val="clear"/>
          </w:tcPr>
          <w:p>
            <w:pPr>
              <w:spacing w:before="60" w:after="60"/>
              <w:jc w:val="center"/>
            </w:pPr>
            <w:r>
              <w:rPr>
                <w:rFonts w:ascii="Calibri" w:hAnsi="Calibri"/>
                <w:b/>
                <w:color w:val="25AAE1"/>
                <w:sz w:val="19"/>
              </w:rPr>
              <w:t>11</w:t>
            </w:r>
          </w:p>
        </w:tc>
        <w:tc>
          <w:tcPr>
            <w:tcW w:type="dxa" w:w="4680"/>
            <w:shd w:fill="EAF6FC" w:color="auto" w:val="clear"/>
          </w:tcPr>
          <w:p>
            <w:pPr>
              <w:spacing w:before="60" w:after="60"/>
            </w:pPr>
            <w:r>
              <w:rPr>
                <w:rFonts w:ascii="Calibri" w:hAnsi="Calibri"/>
                <w:color w:val="333333"/>
                <w:sz w:val="20"/>
              </w:rPr>
              <w:t>Lead Magnet &amp; Referral Program</w:t>
            </w:r>
          </w:p>
        </w:tc>
      </w:tr>
      <w:tr>
        <w:tc>
          <w:tcPr>
            <w:tcW w:type="dxa" w:w="4680"/>
            <w:shd w:fill="FFFFFF" w:color="auto" w:val="clear"/>
          </w:tcPr>
          <w:p>
            <w:pPr>
              <w:spacing w:before="60" w:after="60"/>
              <w:jc w:val="center"/>
            </w:pPr>
            <w:r>
              <w:rPr>
                <w:rFonts w:ascii="Calibri" w:hAnsi="Calibri"/>
                <w:b/>
                <w:color w:val="25AAE1"/>
                <w:sz w:val="19"/>
              </w:rPr>
              <w:t>12</w:t>
            </w:r>
          </w:p>
        </w:tc>
        <w:tc>
          <w:tcPr>
            <w:tcW w:type="dxa" w:w="4680"/>
            <w:shd w:fill="FFFFFF" w:color="auto" w:val="clear"/>
          </w:tcPr>
          <w:p>
            <w:pPr>
              <w:spacing w:before="60" w:after="60"/>
            </w:pPr>
            <w:r>
              <w:rPr>
                <w:rFonts w:ascii="Calibri" w:hAnsi="Calibri"/>
                <w:color w:val="333333"/>
                <w:sz w:val="20"/>
              </w:rPr>
              <w:t>Priority Services &amp; Next Steps</w:t>
            </w:r>
          </w:p>
        </w:tc>
      </w:tr>
      <w:tr>
        <w:tc>
          <w:tcPr>
            <w:tcW w:type="dxa" w:w="4680"/>
            <w:shd w:fill="EAF6FC" w:color="auto" w:val="clear"/>
          </w:tcPr>
          <w:p>
            <w:pPr>
              <w:spacing w:before="60" w:after="60"/>
              <w:jc w:val="center"/>
            </w:pPr>
            <w:r>
              <w:rPr>
                <w:rFonts w:ascii="Calibri" w:hAnsi="Calibri"/>
                <w:b/>
                <w:color w:val="25AAE1"/>
                <w:sz w:val="19"/>
              </w:rPr>
              <w:t>13</w:t>
            </w:r>
          </w:p>
        </w:tc>
        <w:tc>
          <w:tcPr>
            <w:tcW w:type="dxa" w:w="4680"/>
            <w:shd w:fill="EAF6FC" w:color="auto" w:val="clear"/>
          </w:tcPr>
          <w:p>
            <w:pPr>
              <w:spacing w:before="60" w:after="60"/>
            </w:pPr>
            <w:r>
              <w:rPr>
                <w:rFonts w:ascii="Calibri" w:hAnsi="Calibri"/>
                <w:color w:val="333333"/>
                <w:sz w:val="20"/>
              </w:rPr>
              <w:t>QC Gate Sign-Offs</w:t>
            </w:r>
          </w:p>
        </w:tc>
      </w:tr>
    </w:tbl>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01</w:t>
            </w:r>
          </w:p>
        </w:tc>
        <w:tc>
          <w:tcPr>
            <w:tcW w:type="dxa" w:w="4680"/>
            <w:shd w:fill="1A2533" w:color="auto" w:val="clear"/>
          </w:tcPr>
          <w:p>
            <w:pPr>
              <w:spacing w:before="120" w:after="120"/>
            </w:pPr>
            <w:r>
              <w:rPr>
                <w:rFonts w:ascii="Calibri" w:hAnsi="Calibri"/>
                <w:b/>
                <w:color w:val="FFFFFF"/>
                <w:sz w:val="22"/>
              </w:rPr>
              <w:t>Section 1: Executive Summary</w:t>
            </w:r>
          </w:p>
        </w:tc>
      </w:tr>
    </w:tbl>
    <w:p>
      <w:pPr>
        <w:spacing w:before="0" w:after="120"/>
      </w:pPr>
    </w:p>
    <w:p>
      <w:pPr>
        <w:spacing w:before="160" w:after="40"/>
      </w:pPr>
      <w:r>
        <w:rPr>
          <w:rFonts w:ascii="Calibri" w:hAnsi="Calibri"/>
          <w:b/>
          <w:color w:val="1A2533"/>
          <w:sz w:val="21"/>
        </w:rPr>
        <w:t>What Thomas Banks Has — And What It's Worth</w:t>
      </w:r>
    </w:p>
    <w:p>
      <w:pPr>
        <w:spacing w:before="0" w:after="100"/>
      </w:pPr>
      <w:r>
        <w:rPr>
          <w:rFonts w:ascii="Calibri" w:hAnsi="Calibri"/>
          <w:b w:val="0"/>
          <w:i w:val="0"/>
          <w:color w:val="333333"/>
          <w:sz w:val="21"/>
        </w:rPr>
        <w:t>Thomas E. Banks II holds credentials that the overwhelming majority of family law attorneys in Louisville — and frankly in most markets across the country — will never hold. He is a Fellow of the American Academy of Matrimonial Lawyers, a distinction held by fewer than 1,600 attorneys worldwide. He has been recognized by Super Lawyers every single year since 2015 — eleven consecutive years across Rising Stars and Super Lawyers. He carries the Martindale-Hubbell AV Preeminent rating, the highest possible mark for legal ability and ethics, achieved by fewer than 10% of all attorneys. He was Chair of the Family Law Section of the Louisville Bar Association. He graduated number one in his class at Cornell. He has been practicing exclusively in family law for 17 years. And before he ever set foot in a courtroom, he spent years in accounting and database management — which means he does not call an expert witness every time a business valuation becomes contested. He reads the numbers himself.</w:t>
      </w:r>
    </w:p>
    <w:p>
      <w:pPr>
        <w:spacing w:before="0" w:after="100"/>
      </w:pPr>
      <w:r>
        <w:rPr>
          <w:rFonts w:ascii="Calibri" w:hAnsi="Calibri"/>
          <w:b w:val="0"/>
          <w:i w:val="0"/>
          <w:color w:val="333333"/>
          <w:sz w:val="21"/>
        </w:rPr>
        <w:t>This is not a typical family law attorney. This is one of the two or three most credentialed family law attorneys in the Louisville market, by objective measure.</w:t>
      </w:r>
    </w:p>
    <w:p>
      <w:pPr>
        <w:spacing w:before="160" w:after="40"/>
      </w:pPr>
      <w:r>
        <w:rPr>
          <w:rFonts w:ascii="Calibri" w:hAnsi="Calibri"/>
          <w:b/>
          <w:color w:val="1A2533"/>
          <w:sz w:val="21"/>
        </w:rPr>
        <w:t>What Is Being Left on the Table</w:t>
      </w:r>
    </w:p>
    <w:p>
      <w:pPr>
        <w:spacing w:before="0" w:after="100"/>
      </w:pPr>
      <w:r>
        <w:rPr>
          <w:rFonts w:ascii="Calibri" w:hAnsi="Calibri"/>
          <w:b w:val="0"/>
          <w:i w:val="0"/>
          <w:color w:val="333333"/>
          <w:sz w:val="21"/>
        </w:rPr>
        <w:t>None of it shows up where it matters.</w:t>
      </w:r>
    </w:p>
    <w:p>
      <w:pPr>
        <w:spacing w:before="0" w:after="100"/>
      </w:pPr>
      <w:r>
        <w:rPr>
          <w:rFonts w:ascii="Calibri" w:hAnsi="Calibri"/>
          <w:b w:val="0"/>
          <w:i w:val="0"/>
          <w:color w:val="333333"/>
          <w:sz w:val="21"/>
        </w:rPr>
        <w:t>KentuckianaDivorceLawyer.com is a single-page site that mentions almost none of his credentials. The FAQ contains a question about Indiana residency requirements that belongs on the Indiana site, not the Kentucky site. The "Why Choose Thomas?" section reads like boilerplate — the kind of language every attorney uses because they have not been told how to say anything different. There is no dedicated About page on the Indiana site. There are no credential blocks on either site. There is no structured Google review presence that reflects 17 years of satisfied clients. There is no LinkedIn authority content positioning Thomas as the attorney you call when the financial complexity of your divorce exceeds what most attorneys can handle.</w:t>
      </w:r>
    </w:p>
    <w:p>
      <w:pPr>
        <w:spacing w:before="0" w:after="100"/>
      </w:pPr>
      <w:r>
        <w:rPr>
          <w:rFonts w:ascii="Calibri" w:hAnsi="Calibri"/>
          <w:b w:val="0"/>
          <w:i w:val="0"/>
          <w:color w:val="333333"/>
          <w:sz w:val="21"/>
        </w:rPr>
        <w:t>Meanwhile, the clients Thomas is best positioned to serve — executives, business owners, high-income professionals facing high-asset divorce in Louisville and Southern Indiana — are searching online for exactly what Thomas offers. They are finding competitors who may have fewer credentials but present themselves with more authority.</w:t>
      </w:r>
    </w:p>
    <w:p>
      <w:pPr>
        <w:spacing w:before="0" w:after="100"/>
      </w:pPr>
      <w:r>
        <w:rPr>
          <w:rFonts w:ascii="Calibri" w:hAnsi="Calibri"/>
          <w:b w:val="0"/>
          <w:i w:val="0"/>
          <w:color w:val="333333"/>
          <w:sz w:val="21"/>
        </w:rPr>
        <w:t>That is the gap. And it is a gap that exists entirely at the level of presentation, not substance.</w:t>
      </w:r>
    </w:p>
    <w:p>
      <w:pPr>
        <w:spacing w:before="160" w:after="40"/>
      </w:pPr>
      <w:r>
        <w:rPr>
          <w:rFonts w:ascii="Calibri" w:hAnsi="Calibri"/>
          <w:b/>
          <w:color w:val="1A2533"/>
          <w:sz w:val="21"/>
        </w:rPr>
        <w:t>What the ASG Engagement Will Change</w:t>
      </w:r>
    </w:p>
    <w:p>
      <w:pPr>
        <w:spacing w:before="0" w:after="100"/>
      </w:pPr>
      <w:r>
        <w:rPr>
          <w:rFonts w:ascii="Calibri" w:hAnsi="Calibri"/>
          <w:b w:val="0"/>
          <w:i w:val="0"/>
          <w:color w:val="333333"/>
          <w:sz w:val="21"/>
        </w:rPr>
        <w:t>This engagement has a single mission: make Thomas Banks's digital presence reflect what Thomas Banks actually is.</w:t>
      </w:r>
    </w:p>
    <w:p>
      <w:pPr>
        <w:spacing w:before="0" w:after="100"/>
      </w:pPr>
      <w:r>
        <w:rPr>
          <w:rFonts w:ascii="Calibri" w:hAnsi="Calibri"/>
          <w:b w:val="0"/>
          <w:i w:val="0"/>
          <w:color w:val="333333"/>
          <w:sz w:val="21"/>
        </w:rPr>
        <w:t>That means two personal websites rebuilt around his credential stack, not assembled around generic practice area descriptions. It means a content strategy that positions him as the attorney who understands the financial mechanics of a divorce — business valuations, forensic accounting, hidden assets, the parts that generalists fumble — because that is the content that reaches High-Stakes Henry the moment he realizes his first attorney didn't understand what he was dealing with. It means a Google review profile that shows 17 years of outcomes, not a handful of entries. It means a CPA and financial advisor referral network that feeds high-asset cases directly to Thomas because he speaks the language those professionals respect.</w:t>
      </w:r>
    </w:p>
    <w:p>
      <w:pPr>
        <w:spacing w:before="0" w:after="100"/>
      </w:pPr>
      <w:r>
        <w:rPr>
          <w:rFonts w:ascii="Calibri" w:hAnsi="Calibri"/>
          <w:b w:val="0"/>
          <w:i w:val="0"/>
          <w:color w:val="333333"/>
          <w:sz w:val="21"/>
        </w:rPr>
        <w:t>The three Fast Cash campaigns in this Blueprint are executable within 30 to 45 days of engagement launch. The website and content strategy build the long-term machine. Together, they close the gap between Thomas's standing in the legal community and his visibility in the market.</w:t>
      </w:r>
    </w:p>
    <w:p>
      <w:pPr>
        <w:spacing w:before="0" w:after="100"/>
      </w:pPr>
      <w:r>
        <w:rPr>
          <w:rFonts w:ascii="Calibri" w:hAnsi="Calibri"/>
          <w:b w:val="0"/>
          <w:i w:val="0"/>
          <w:color w:val="333333"/>
          <w:sz w:val="21"/>
        </w:rPr>
        <w:t>The floor for this engagement is clear: a 30–40% increase in Thomas's personal client volume within 12 months, driven by digital authority, a structured referral network, and a Google presence that matches his credential profile.</w:t>
      </w:r>
    </w:p>
    <w:p>
      <w:pPr>
        <w:spacing w:before="160" w:after="80"/>
      </w:pPr>
      <w:r>
        <w:rPr>
          <w:rFonts w:ascii="Calibri" w:hAnsi="Calibri"/>
          <w:i/>
          <w:color w:val="888888"/>
          <w:sz w:val="18"/>
        </w:rPr>
        <w:t>— Roger Bauer, Director,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02</w:t>
            </w:r>
          </w:p>
        </w:tc>
        <w:tc>
          <w:tcPr>
            <w:tcW w:type="dxa" w:w="4680"/>
            <w:shd w:fill="1A2533" w:color="auto" w:val="clear"/>
          </w:tcPr>
          <w:p>
            <w:pPr>
              <w:spacing w:before="120" w:after="120"/>
            </w:pPr>
            <w:r>
              <w:rPr>
                <w:rFonts w:ascii="Calibri" w:hAnsi="Calibri"/>
                <w:b/>
                <w:color w:val="FFFFFF"/>
                <w:sz w:val="22"/>
              </w:rPr>
              <w:t>Section 2: Director's Briefing</w:t>
            </w:r>
          </w:p>
        </w:tc>
      </w:tr>
    </w:tbl>
    <w:p>
      <w:pPr>
        <w:spacing w:before="0" w:after="120"/>
      </w:pPr>
    </w:p>
    <w:p>
      <w:pPr>
        <w:spacing w:before="160" w:after="40"/>
      </w:pPr>
      <w:r>
        <w:rPr>
          <w:rFonts w:ascii="Calibri" w:hAnsi="Calibri"/>
          <w:b/>
          <w:color w:val="1A2533"/>
          <w:sz w:val="21"/>
        </w:rPr>
        <w:t>A Personal Note from Roger Bauer to Thomas Banks</w:t>
      </w:r>
    </w:p>
    <w:p>
      <w:pPr>
        <w:spacing w:before="0" w:after="100"/>
      </w:pPr>
      <w:r>
        <w:rPr>
          <w:rFonts w:ascii="Calibri" w:hAnsi="Calibri"/>
          <w:b w:val="0"/>
          <w:i w:val="0"/>
          <w:color w:val="333333"/>
          <w:sz w:val="21"/>
        </w:rPr>
        <w:t>Thomas,</w:t>
      </w:r>
    </w:p>
    <w:p>
      <w:pPr>
        <w:spacing w:before="0" w:after="100"/>
      </w:pPr>
      <w:r>
        <w:rPr>
          <w:rFonts w:ascii="Calibri" w:hAnsi="Calibri"/>
          <w:b w:val="0"/>
          <w:i w:val="0"/>
          <w:color w:val="333333"/>
          <w:sz w:val="21"/>
        </w:rPr>
        <w:t>I've been watching your situation for some time, and I want to be direct with you about what I see — because I think you already know it on some level.</w:t>
      </w:r>
    </w:p>
    <w:p>
      <w:pPr>
        <w:spacing w:before="0" w:after="100"/>
      </w:pPr>
      <w:r>
        <w:rPr>
          <w:rFonts w:ascii="Calibri" w:hAnsi="Calibri"/>
          <w:b w:val="0"/>
          <w:i w:val="0"/>
          <w:color w:val="333333"/>
          <w:sz w:val="21"/>
        </w:rPr>
        <w:t>You have built one of the strongest individual credential profiles in Louisville family law. The AAML Fellowship alone puts you in a category that most attorneys never reach, regardless of how long they practice. When you combine that with the Super Lawyers streak, the AV Preeminent rating, the Bar leadership, the Cornell record, and — this is the piece most people miss — your pre-law background in accounting, you are not competing in the same category as the typical Louisville family law attorney. You are in a substantially different league.</w:t>
      </w:r>
    </w:p>
    <w:p>
      <w:pPr>
        <w:spacing w:before="0" w:after="100"/>
      </w:pPr>
      <w:r>
        <w:rPr>
          <w:rFonts w:ascii="Calibri" w:hAnsi="Calibri"/>
          <w:b w:val="0"/>
          <w:i w:val="0"/>
          <w:color w:val="333333"/>
          <w:sz w:val="21"/>
        </w:rPr>
        <w:t>But when someone searches "high-asset divorce attorney Louisville" or "business valuation divorce attorney Kentucky" and lands on your sites, they have no way of knowing that.</w:t>
      </w:r>
    </w:p>
    <w:p>
      <w:pPr>
        <w:spacing w:before="0" w:after="100"/>
      </w:pPr>
      <w:r>
        <w:rPr>
          <w:rFonts w:ascii="Calibri" w:hAnsi="Calibri"/>
          <w:b w:val="0"/>
          <w:i w:val="0"/>
          <w:color w:val="333333"/>
          <w:sz w:val="21"/>
        </w:rPr>
        <w:t>That's not a small problem. In your market, the clients who can afford to pay premium rates and who have the most at stake — business owners, executives, high-income professionals — are exactly the people who research before they call. They look at credentials. They look at the bio. They look at what other people said. They're not just trying to find a good attorney; they're trying to find the attorney who clearly knows more about their specific situation than any other attorney they could hire. That's you. They just don't know it yet.</w:t>
      </w:r>
    </w:p>
    <w:p>
      <w:pPr>
        <w:spacing w:before="0" w:after="100"/>
      </w:pPr>
      <w:r>
        <w:rPr>
          <w:rFonts w:ascii="Calibri" w:hAnsi="Calibri"/>
          <w:b w:val="0"/>
          <w:i w:val="0"/>
          <w:color w:val="333333"/>
          <w:sz w:val="21"/>
        </w:rPr>
        <w:t>What I'm going to do is change that.</w:t>
      </w:r>
    </w:p>
    <w:p>
      <w:pPr>
        <w:spacing w:before="0" w:after="100"/>
      </w:pPr>
      <w:r>
        <w:rPr>
          <w:rFonts w:ascii="Calibri" w:hAnsi="Calibri"/>
          <w:b w:val="0"/>
          <w:i w:val="0"/>
          <w:color w:val="333333"/>
          <w:sz w:val="21"/>
        </w:rPr>
        <w:t>The plan in this Blueprint is not complicated. It's specific. It rebuilds your two personal sites around the credential story that should have been there from the beginning. It activates the CPA and financial advisor referral network that your accounting background makes you uniquely positioned to capture — those professionals have clients going through high-asset divorces right now and they need to know you exist and why you're different. It generates reviews from the 17 years of clients who would say you changed their financial future if someone asked them. And it launches LinkedIn content that positions you as the attorney who actually understands what a business valuation looks like inside a contested divorce — which is a specific authority position that none of your direct competitors can credibly claim.</w:t>
      </w:r>
    </w:p>
    <w:p>
      <w:pPr>
        <w:spacing w:before="0" w:after="100"/>
      </w:pPr>
      <w:r>
        <w:rPr>
          <w:rFonts w:ascii="Calibri" w:hAnsi="Calibri"/>
          <w:b w:val="0"/>
          <w:i w:val="0"/>
          <w:color w:val="333333"/>
          <w:sz w:val="21"/>
        </w:rPr>
        <w:t>The engagement pays for itself in one good referral. I want to show you what it looks like when it's running properly.</w:t>
      </w:r>
    </w:p>
    <w:p>
      <w:pPr>
        <w:spacing w:before="0" w:after="100"/>
      </w:pPr>
      <w:r>
        <w:rPr>
          <w:rFonts w:ascii="Calibri" w:hAnsi="Calibri"/>
          <w:b w:val="0"/>
          <w:i w:val="0"/>
          <w:color w:val="333333"/>
          <w:sz w:val="21"/>
        </w:rPr>
        <w:t>I'm glad we're working together again.</w:t>
      </w:r>
    </w:p>
    <w:p>
      <w:pPr>
        <w:spacing w:before="160" w:after="80"/>
      </w:pPr>
      <w:r>
        <w:rPr>
          <w:rFonts w:ascii="Calibri" w:hAnsi="Calibri"/>
          <w:i/>
          <w:color w:val="888888"/>
          <w:sz w:val="18"/>
        </w:rPr>
        <w:t>— Roger Bauer, Director,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03</w:t>
            </w:r>
          </w:p>
        </w:tc>
        <w:tc>
          <w:tcPr>
            <w:tcW w:type="dxa" w:w="4680"/>
            <w:shd w:fill="2C3E50" w:color="auto" w:val="clear"/>
          </w:tcPr>
          <w:p>
            <w:pPr>
              <w:spacing w:before="120" w:after="120"/>
            </w:pPr>
            <w:r>
              <w:rPr>
                <w:rFonts w:ascii="Calibri" w:hAnsi="Calibri"/>
                <w:b/>
                <w:color w:val="FFFFFF"/>
                <w:sz w:val="22"/>
              </w:rPr>
              <w:t>Section 3: Market Analysis</w:t>
            </w:r>
          </w:p>
        </w:tc>
      </w:tr>
    </w:tbl>
    <w:p>
      <w:pPr>
        <w:spacing w:before="0" w:after="120"/>
      </w:pPr>
    </w:p>
    <w:p>
      <w:pPr>
        <w:spacing w:before="40" w:after="80"/>
      </w:pPr>
      <w:r>
        <w:rPr>
          <w:rFonts w:ascii="Calibri" w:hAnsi="Calibri"/>
          <w:i/>
          <w:color w:val="58585A"/>
          <w:sz w:val="19"/>
        </w:rPr>
        <w:t>Prepared by Daniel Frost, Chief Strategy Officer</w:t>
      </w:r>
    </w:p>
    <w:p>
      <w:pPr>
        <w:shd w:fill="F5F5F5" w:color="auto" w:val="clear"/>
        <w:spacing w:before="200" w:after="40"/>
      </w:pPr>
      <w:r>
        <w:rPr>
          <w:rFonts w:ascii="Calibri" w:hAnsi="Calibri"/>
          <w:b/>
          <w:color w:val="58585A"/>
          <w:sz w:val="22"/>
        </w:rPr>
        <w:t xml:space="preserve">  Louisville Family Law Market — Current Landscape</w:t>
      </w:r>
    </w:p>
    <w:p>
      <w:pPr>
        <w:spacing w:before="160" w:after="40"/>
      </w:pPr>
      <w:r>
        <w:rPr>
          <w:rFonts w:ascii="Calibri" w:hAnsi="Calibri"/>
          <w:b/>
          <w:color w:val="1A2533"/>
          <w:sz w:val="21"/>
        </w:rPr>
        <w:t>Market Fundamentals</w:t>
      </w:r>
    </w:p>
    <w:p>
      <w:pPr>
        <w:spacing w:before="0" w:after="100"/>
      </w:pPr>
      <w:r>
        <w:rPr>
          <w:rFonts w:ascii="Calibri" w:hAnsi="Calibri"/>
          <w:b w:val="0"/>
          <w:i w:val="0"/>
          <w:color w:val="333333"/>
          <w:sz w:val="21"/>
        </w:rPr>
        <w:t>The Louisville, Kentucky metropolitan area is a mid-major market with approximately 800,000 residents and a professional services economy anchored by healthcare (Baptist Health, UofL Health, Norton Healthcare), financial services, manufacturing leadership, and a growing technology sector. Jefferson County is the highest-income county in Kentucky, and the surrounding Indiana counties — Clark, Floyd, and Harrison — add an estimated 300,000 additional population with strong working-class and professional demographics. Divorce rates in Kentucky track the national average at approximately 10–11 per 1,000 married couples annually, producing a consistent and predictable demand stream for family law services.</w:t>
      </w:r>
    </w:p>
    <w:p>
      <w:pPr>
        <w:spacing w:before="0" w:after="100"/>
      </w:pPr>
      <w:r>
        <w:rPr>
          <w:rFonts w:ascii="Calibri" w:hAnsi="Calibri"/>
          <w:b w:val="0"/>
          <w:i w:val="0"/>
          <w:color w:val="333333"/>
          <w:sz w:val="21"/>
        </w:rPr>
        <w:t>The high-asset divorce segment — defined here as cases involving complex asset portfolios, business interests, contested property, and premium billing rates — is a consistent feature of the Louisville market. Louisville's concentration of healthcare executives, bourbon and manufacturing industry leaders, real estate investors, and small-to-mid-size business owners generates a steady pipeline of cases where financial complexity determines which attorney gets hired. This is not a volume play; it is a credential and authority play. The clients most worth having are the clients who are most discerning about who they hire.</w:t>
      </w:r>
    </w:p>
    <w:p>
      <w:pPr>
        <w:spacing w:before="160" w:after="40"/>
      </w:pPr>
      <w:r>
        <w:rPr>
          <w:rFonts w:ascii="Calibri" w:hAnsi="Calibri"/>
          <w:b/>
          <w:color w:val="1A2533"/>
          <w:sz w:val="21"/>
        </w:rPr>
        <w:t>The Competitive Field at the High-Asset Level</w:t>
      </w:r>
    </w:p>
    <w:p>
      <w:pPr>
        <w:spacing w:before="0" w:after="100"/>
      </w:pPr>
      <w:r>
        <w:rPr>
          <w:rFonts w:ascii="Calibri" w:hAnsi="Calibri"/>
          <w:b w:val="0"/>
          <w:i w:val="0"/>
          <w:color w:val="333333"/>
          <w:sz w:val="21"/>
        </w:rPr>
        <w:t>The Louisville family law market has several players operating at or near the high-asset level:</w:t>
      </w:r>
    </w:p>
    <w:p>
      <w:pPr>
        <w:pStyle w:val="ListBullet"/>
        <w:spacing w:before="0" w:after="60"/>
        <w:ind w:left="288"/>
      </w:pPr>
      <w:r>
        <w:rPr>
          <w:rFonts w:ascii="Calibri" w:hAnsi="Calibri"/>
          <w:b w:val="0"/>
          <w:i w:val="0"/>
          <w:color w:val="333333"/>
          <w:sz w:val="21"/>
        </w:rPr>
      </w:r>
      <w:r>
        <w:rPr>
          <w:rFonts w:ascii="Calibri" w:hAnsi="Calibri"/>
          <w:b/>
          <w:i w:val="0"/>
          <w:color w:val="333333"/>
          <w:sz w:val="21"/>
        </w:rPr>
        <w:t>Goldberg Simpson</w:t>
      </w:r>
      <w:r>
        <w:rPr>
          <w:rFonts w:ascii="Calibri" w:hAnsi="Calibri"/>
          <w:b w:val="0"/>
          <w:i w:val="0"/>
          <w:color w:val="333333"/>
          <w:sz w:val="21"/>
        </w:rPr>
        <w:t xml:space="preserve"> is the largest family law-exclusive firm in the Louisville market and operates with significant brand equity. Their marketing is firm-centric rather than attorney-centric, which creates a differentiation opportunity for Thomas. Individual attorneys at Goldberg Simpson have Super Lawyers recognitions but, to our analysis, no AAML Fellows currently practicing in Louisville.</w:t>
      </w:r>
    </w:p>
    <w:p>
      <w:pPr>
        <w:pStyle w:val="ListBullet"/>
        <w:spacing w:before="0" w:after="60"/>
        <w:ind w:left="288"/>
      </w:pPr>
      <w:r>
        <w:rPr>
          <w:rFonts w:ascii="Calibri" w:hAnsi="Calibri"/>
          <w:b w:val="0"/>
          <w:i w:val="0"/>
          <w:color w:val="333333"/>
          <w:sz w:val="21"/>
        </w:rPr>
      </w:r>
      <w:r>
        <w:rPr>
          <w:rFonts w:ascii="Calibri" w:hAnsi="Calibri"/>
          <w:b/>
          <w:i w:val="0"/>
          <w:color w:val="333333"/>
          <w:sz w:val="21"/>
        </w:rPr>
        <w:t>Middleton Reutlinger</w:t>
      </w:r>
      <w:r>
        <w:rPr>
          <w:rFonts w:ascii="Calibri" w:hAnsi="Calibri"/>
          <w:b w:val="0"/>
          <w:i w:val="0"/>
          <w:color w:val="333333"/>
          <w:sz w:val="21"/>
        </w:rPr>
        <w:t xml:space="preserve"> is a full-service firm with a family law practice group. Their family law marketing is subordinated to the broader firm brand and lacks the focused credential depth that a specialist attorney can deploy.</w:t>
      </w:r>
    </w:p>
    <w:p>
      <w:pPr>
        <w:pStyle w:val="ListBullet"/>
        <w:spacing w:before="0" w:after="60"/>
        <w:ind w:left="288"/>
      </w:pPr>
      <w:r>
        <w:rPr>
          <w:rFonts w:ascii="Calibri" w:hAnsi="Calibri"/>
          <w:b w:val="0"/>
          <w:i w:val="0"/>
          <w:color w:val="333333"/>
          <w:sz w:val="21"/>
        </w:rPr>
      </w:r>
      <w:r>
        <w:rPr>
          <w:rFonts w:ascii="Calibri" w:hAnsi="Calibri"/>
          <w:b/>
          <w:i w:val="0"/>
          <w:color w:val="333333"/>
          <w:sz w:val="21"/>
        </w:rPr>
        <w:t>Straw-Boone Doheny Banks Mudd Catalano &amp; McKinney, PLLC</w:t>
      </w:r>
      <w:r>
        <w:rPr>
          <w:rFonts w:ascii="Calibri" w:hAnsi="Calibri"/>
          <w:b w:val="0"/>
          <w:i w:val="0"/>
          <w:color w:val="333333"/>
          <w:sz w:val="21"/>
        </w:rPr>
        <w:t xml:space="preserve"> — Thomas's own firm — is positioned well on the recently redesigned DivorceKY-IN.com. However, individual attorney pages on the firm site are underdeveloped, and Thomas's personal sites currently trail behind the firm's collective presentation. This is a correctable problem and an opportunity.</w:t>
      </w:r>
    </w:p>
    <w:p>
      <w:pPr>
        <w:pStyle w:val="ListBullet"/>
        <w:spacing w:before="0" w:after="60"/>
        <w:ind w:left="288"/>
      </w:pPr>
      <w:r>
        <w:rPr>
          <w:rFonts w:ascii="Calibri" w:hAnsi="Calibri"/>
          <w:b w:val="0"/>
          <w:i w:val="0"/>
          <w:color w:val="333333"/>
          <w:sz w:val="21"/>
        </w:rPr>
      </w:r>
      <w:r>
        <w:rPr>
          <w:rFonts w:ascii="Calibri" w:hAnsi="Calibri"/>
          <w:b/>
          <w:i w:val="0"/>
          <w:color w:val="333333"/>
          <w:sz w:val="21"/>
        </w:rPr>
        <w:t>Solo practitioners in Southern Indiana</w:t>
      </w:r>
      <w:r>
        <w:rPr>
          <w:rFonts w:ascii="Calibri" w:hAnsi="Calibri"/>
          <w:b w:val="0"/>
          <w:i w:val="0"/>
          <w:color w:val="333333"/>
          <w:sz w:val="21"/>
        </w:rPr>
        <w:t xml:space="preserve"> compete on price and accessibility rather than credentials. They represent the low end of the market Thomas is not targeting. Their presence does, however, suppress generic search traffic in the Southern Indiana market — which makes Thomas's credential differentiation even more important for appearing above the noise.</w:t>
      </w:r>
    </w:p>
    <w:p>
      <w:pPr>
        <w:spacing w:before="160" w:after="40"/>
      </w:pPr>
      <w:r>
        <w:rPr>
          <w:rFonts w:ascii="Calibri" w:hAnsi="Calibri"/>
          <w:b/>
          <w:color w:val="1A2533"/>
          <w:sz w:val="21"/>
        </w:rPr>
        <w:t>The AAML Competitive Moat</w:t>
      </w:r>
    </w:p>
    <w:p>
      <w:pPr>
        <w:spacing w:before="0" w:after="100"/>
      </w:pPr>
      <w:r>
        <w:rPr>
          <w:rFonts w:ascii="Calibri" w:hAnsi="Calibri"/>
          <w:b w:val="0"/>
          <w:i w:val="0"/>
          <w:color w:val="333333"/>
          <w:sz w:val="21"/>
        </w:rPr>
        <w:t>The single most important competitive fact in this analysis is this: the American Academy of Matrimonial Lawyers grants Fellowship to fewer than 1,600 attorneys worldwide. Fellowship is invitation-only, requiring peer nomination, written examination, and demonstrated trial skill. It represents what the Academy considers the top 2% of family lawyers globally.</w:t>
      </w:r>
    </w:p>
    <w:p>
      <w:pPr>
        <w:spacing w:before="0" w:after="100"/>
      </w:pPr>
      <w:r>
        <w:rPr>
          <w:rFonts w:ascii="Calibri" w:hAnsi="Calibri"/>
          <w:b w:val="0"/>
          <w:i w:val="0"/>
          <w:color w:val="333333"/>
          <w:sz w:val="21"/>
        </w:rPr>
        <w:t>To our research, no attorney at Goldberg Simpson, Middleton Reutlinger, or among the visible solo practitioners in Southern Indiana currently holds an AAML Fellowship in active Louisville practice. Thomas holds one.</w:t>
      </w:r>
    </w:p>
    <w:p>
      <w:pPr>
        <w:spacing w:before="0" w:after="100"/>
      </w:pPr>
      <w:r>
        <w:rPr>
          <w:rFonts w:ascii="Calibri" w:hAnsi="Calibri"/>
          <w:b w:val="0"/>
          <w:i w:val="0"/>
          <w:color w:val="333333"/>
          <w:sz w:val="21"/>
        </w:rPr>
        <w:t>This is not a subtle distinction. In a market where high-asset clients research attorneys before calling, the AAML Fellowship is a verifiable, third-party signal that places Thomas in a different credential category from every visible competitor. The problem is not that Thomas lacks the credential. The problem is that the credential is buried or absent on both of his personal sites.</w:t>
      </w:r>
    </w:p>
    <w:p>
      <w:pPr>
        <w:spacing w:before="160" w:after="40"/>
      </w:pPr>
      <w:r>
        <w:rPr>
          <w:rFonts w:ascii="Calibri" w:hAnsi="Calibri"/>
          <w:b/>
          <w:color w:val="1A2533"/>
          <w:sz w:val="21"/>
        </w:rPr>
        <w:t>The Search and Authority Landscape</w:t>
      </w:r>
    </w:p>
    <w:p>
      <w:pPr>
        <w:spacing w:before="0" w:after="100"/>
      </w:pPr>
      <w:r>
        <w:rPr>
          <w:rFonts w:ascii="Calibri" w:hAnsi="Calibri"/>
          <w:b w:val="0"/>
          <w:i w:val="0"/>
          <w:color w:val="333333"/>
          <w:sz w:val="21"/>
        </w:rPr>
        <w:t>Target keyword analysis for the Louisville high-asset and complex divorce market reveals the following priority opportunities:</w:t>
      </w:r>
    </w:p>
    <w:p>
      <w:pPr>
        <w:spacing w:before="40" w:after="80"/>
      </w:pPr>
      <w:r>
        <w:rPr>
          <w:rFonts w:ascii="Calibri" w:hAnsi="Calibri"/>
          <w:i/>
          <w:color w:val="58585A"/>
          <w:sz w:val="19"/>
        </w:rPr>
        <w:t>Primary Louisville targets:</w:t>
      </w:r>
    </w:p>
    <w:p>
      <w:pPr>
        <w:pStyle w:val="ListBullet"/>
        <w:spacing w:before="0" w:after="60"/>
        <w:ind w:left="288"/>
      </w:pPr>
      <w:r>
        <w:rPr>
          <w:rFonts w:ascii="Calibri" w:hAnsi="Calibri"/>
          <w:b w:val="0"/>
          <w:i w:val="0"/>
          <w:color w:val="333333"/>
          <w:sz w:val="21"/>
        </w:rPr>
        <w:t>"high-asset divorce attorney Louisville" — medium-high competition, clear commercial intent, Thomas's primary target phrase</w:t>
      </w:r>
    </w:p>
    <w:p>
      <w:pPr>
        <w:pStyle w:val="ListBullet"/>
        <w:spacing w:before="0" w:after="60"/>
        <w:ind w:left="288"/>
      </w:pPr>
      <w:r>
        <w:rPr>
          <w:rFonts w:ascii="Calibri" w:hAnsi="Calibri"/>
          <w:b w:val="0"/>
          <w:i w:val="0"/>
          <w:color w:val="333333"/>
          <w:sz w:val="21"/>
        </w:rPr>
        <w:t>"business valuation divorce attorney Louisville" — lower competition, extremely high value, near-zero credible competition for this specific phrase</w:t>
      </w:r>
    </w:p>
    <w:p>
      <w:pPr>
        <w:pStyle w:val="ListBullet"/>
        <w:spacing w:before="0" w:after="60"/>
        <w:ind w:left="288"/>
      </w:pPr>
      <w:r>
        <w:rPr>
          <w:rFonts w:ascii="Calibri" w:hAnsi="Calibri"/>
          <w:b w:val="0"/>
          <w:i w:val="0"/>
          <w:color w:val="333333"/>
          <w:sz w:val="21"/>
        </w:rPr>
        <w:t>"AAML attorney Louisville" — low competition, highest-credibility signal for informed searchers</w:t>
      </w:r>
    </w:p>
    <w:p>
      <w:pPr>
        <w:pStyle w:val="ListBullet"/>
        <w:spacing w:before="0" w:after="60"/>
        <w:ind w:left="288"/>
      </w:pPr>
      <w:r>
        <w:rPr>
          <w:rFonts w:ascii="Calibri" w:hAnsi="Calibri"/>
          <w:b w:val="0"/>
          <w:i w:val="0"/>
          <w:color w:val="333333"/>
          <w:sz w:val="21"/>
        </w:rPr>
        <w:t>"family law attorney Louisville" — high competition, volume term, not the primary focus but organic rank matters for overall domain authority</w:t>
      </w:r>
    </w:p>
    <w:p>
      <w:pPr>
        <w:pStyle w:val="ListBullet"/>
        <w:spacing w:before="0" w:after="60"/>
        <w:ind w:left="288"/>
      </w:pPr>
      <w:r>
        <w:rPr>
          <w:rFonts w:ascii="Calibri" w:hAnsi="Calibri"/>
          <w:b w:val="0"/>
          <w:i w:val="0"/>
          <w:color w:val="333333"/>
          <w:sz w:val="21"/>
        </w:rPr>
        <w:t>"divorce attorney Louisville Kentucky" — high competition, foundational term</w:t>
      </w:r>
    </w:p>
    <w:p>
      <w:pPr>
        <w:spacing w:before="40" w:after="80"/>
      </w:pPr>
      <w:r>
        <w:rPr>
          <w:rFonts w:ascii="Calibri" w:hAnsi="Calibri"/>
          <w:i/>
          <w:color w:val="58585A"/>
          <w:sz w:val="19"/>
        </w:rPr>
        <w:t>Southern Indiana targets (KentuckianaFamilyLawyer.com):</w:t>
      </w:r>
    </w:p>
    <w:p>
      <w:pPr>
        <w:pStyle w:val="ListBullet"/>
        <w:spacing w:before="0" w:after="60"/>
        <w:ind w:left="288"/>
      </w:pPr>
      <w:r>
        <w:rPr>
          <w:rFonts w:ascii="Calibri" w:hAnsi="Calibri"/>
          <w:b w:val="0"/>
          <w:i w:val="0"/>
          <w:color w:val="333333"/>
          <w:sz w:val="21"/>
        </w:rPr>
        <w:t>"divorce attorney Jeffersonville Indiana" — low competition, local intent</w:t>
      </w:r>
    </w:p>
    <w:p>
      <w:pPr>
        <w:pStyle w:val="ListBullet"/>
        <w:spacing w:before="0" w:after="60"/>
        <w:ind w:left="288"/>
      </w:pPr>
      <w:r>
        <w:rPr>
          <w:rFonts w:ascii="Calibri" w:hAnsi="Calibri"/>
          <w:b w:val="0"/>
          <w:i w:val="0"/>
          <w:color w:val="333333"/>
          <w:sz w:val="21"/>
        </w:rPr>
        <w:t>"family law attorney New Albany Indiana" — low competition, local intent</w:t>
      </w:r>
    </w:p>
    <w:p>
      <w:pPr>
        <w:pStyle w:val="ListBullet"/>
        <w:spacing w:before="0" w:after="60"/>
        <w:ind w:left="288"/>
      </w:pPr>
      <w:r>
        <w:rPr>
          <w:rFonts w:ascii="Calibri" w:hAnsi="Calibri"/>
          <w:b w:val="0"/>
          <w:i w:val="0"/>
          <w:color w:val="333333"/>
          <w:sz w:val="21"/>
        </w:rPr>
        <w:t>"divorce attorney Clark County Indiana" — low to medium competition</w:t>
      </w:r>
    </w:p>
    <w:p>
      <w:pPr>
        <w:pStyle w:val="ListBullet"/>
        <w:spacing w:before="0" w:after="60"/>
        <w:ind w:left="288"/>
      </w:pPr>
      <w:r>
        <w:rPr>
          <w:rFonts w:ascii="Calibri" w:hAnsi="Calibri"/>
          <w:b w:val="0"/>
          <w:i w:val="0"/>
          <w:color w:val="333333"/>
          <w:sz w:val="21"/>
        </w:rPr>
        <w:t>"high-asset divorce attorney Southern Indiana" — very low competition, high value — Thomas is one of very few dual-licensed KY/IN attorneys who could own this phrase</w:t>
      </w:r>
    </w:p>
    <w:p>
      <w:pPr>
        <w:spacing w:before="40" w:after="80"/>
      </w:pPr>
      <w:r>
        <w:rPr>
          <w:rFonts w:ascii="Calibri" w:hAnsi="Calibri"/>
          <w:i/>
          <w:color w:val="58585A"/>
          <w:sz w:val="19"/>
        </w:rPr>
        <w:t>Long-tail differentiation opportunities (high conversion, low competition):</w:t>
      </w:r>
    </w:p>
    <w:p>
      <w:pPr>
        <w:pStyle w:val="ListBullet"/>
        <w:spacing w:before="0" w:after="60"/>
        <w:ind w:left="288"/>
      </w:pPr>
      <w:r>
        <w:rPr>
          <w:rFonts w:ascii="Calibri" w:hAnsi="Calibri"/>
          <w:b w:val="0"/>
          <w:i w:val="0"/>
          <w:color w:val="333333"/>
          <w:sz w:val="21"/>
        </w:rPr>
        <w:t>"divorce attorney who understands business valuation Louisville"</w:t>
      </w:r>
    </w:p>
    <w:p>
      <w:pPr>
        <w:pStyle w:val="ListBullet"/>
        <w:spacing w:before="0" w:after="60"/>
        <w:ind w:left="288"/>
      </w:pPr>
      <w:r>
        <w:rPr>
          <w:rFonts w:ascii="Calibri" w:hAnsi="Calibri"/>
          <w:b w:val="0"/>
          <w:i w:val="0"/>
          <w:color w:val="333333"/>
          <w:sz w:val="21"/>
        </w:rPr>
        <w:t>"forensic accounting divorce attorney Louisville"</w:t>
      </w:r>
    </w:p>
    <w:p>
      <w:pPr>
        <w:pStyle w:val="ListBullet"/>
        <w:spacing w:before="0" w:after="60"/>
        <w:ind w:left="288"/>
      </w:pPr>
      <w:r>
        <w:rPr>
          <w:rFonts w:ascii="Calibri" w:hAnsi="Calibri"/>
          <w:b w:val="0"/>
          <w:i w:val="0"/>
          <w:color w:val="333333"/>
          <w:sz w:val="21"/>
        </w:rPr>
        <w:t>"hidden assets divorce attorney Kentucky"</w:t>
      </w:r>
    </w:p>
    <w:p>
      <w:pPr>
        <w:pStyle w:val="ListBullet"/>
        <w:spacing w:before="0" w:after="60"/>
        <w:ind w:left="288"/>
      </w:pPr>
      <w:r>
        <w:rPr>
          <w:rFonts w:ascii="Calibri" w:hAnsi="Calibri"/>
          <w:b w:val="0"/>
          <w:i w:val="0"/>
          <w:color w:val="333333"/>
          <w:sz w:val="21"/>
        </w:rPr>
        <w:t>"father's rights attorney Louisville Kentucky"</w:t>
      </w:r>
    </w:p>
    <w:p>
      <w:pPr>
        <w:pStyle w:val="ListBullet"/>
        <w:spacing w:before="0" w:after="60"/>
        <w:ind w:left="288"/>
      </w:pPr>
      <w:r>
        <w:rPr>
          <w:rFonts w:ascii="Calibri" w:hAnsi="Calibri"/>
          <w:b w:val="0"/>
          <w:i w:val="0"/>
          <w:color w:val="333333"/>
          <w:sz w:val="21"/>
        </w:rPr>
        <w:t>"contested custody attorney Louisville"</w:t>
      </w:r>
    </w:p>
    <w:p>
      <w:pPr>
        <w:spacing w:before="0" w:after="100"/>
      </w:pPr>
      <w:r>
        <w:rPr>
          <w:rFonts w:ascii="Calibri" w:hAnsi="Calibri"/>
          <w:b w:val="0"/>
          <w:i w:val="0"/>
          <w:color w:val="333333"/>
          <w:sz w:val="21"/>
        </w:rPr>
        <w:t>The forensic accounting and business valuation phrases are the most strategically important. They represent searches that only High-Stakes Henry makes — not the low-conflict divorce market — and they have virtually no credible competition in the Louisville search landscape. A single well-optimized service page targeting "business valuation divorce attorney Louisville" with Thomas's accounting background and AAML credential as the on-page authority signals could rank on the first page within 90 days with no additional link building.</w:t>
      </w:r>
    </w:p>
    <w:p>
      <w:pPr>
        <w:spacing w:before="160" w:after="40"/>
      </w:pPr>
      <w:r>
        <w:rPr>
          <w:rFonts w:ascii="Calibri" w:hAnsi="Calibri"/>
          <w:b/>
          <w:color w:val="1A2533"/>
          <w:sz w:val="21"/>
        </w:rPr>
        <w:t>The Southern Indiana Opportunity</w:t>
      </w:r>
    </w:p>
    <w:p>
      <w:pPr>
        <w:spacing w:before="0" w:after="100"/>
      </w:pPr>
      <w:r>
        <w:rPr>
          <w:rFonts w:ascii="Calibri" w:hAnsi="Calibri"/>
          <w:b w:val="0"/>
          <w:i w:val="0"/>
          <w:color w:val="333333"/>
          <w:sz w:val="21"/>
        </w:rPr>
        <w:t>Thomas's dual KY/IN licensure is a genuine competitive advantage that is currently invisible. Most Louisville-based family law attorneys are not licensed in Indiana. Many Southern Indiana residents — particularly in Clark, Floyd, and Harrison counties — prefer an attorney based in Louisville who is licensed in their state rather than a small-town Indiana solo practitioner. Thomas is licensed in both. His office is in downtown Louisville. His sites do not make this clear. A dedicated site (KentuckianaFamilyLawyer.com) with Indiana-specific service pages, Indiana-specific FAQ content, and local SEO targeting Jeffersonville, New Albany, and Clarksville is a low-competition authority play with a near-captive audience of high-value prospects.</w:t>
      </w:r>
    </w:p>
    <w:p>
      <w:pPr>
        <w:spacing w:before="160" w:after="40"/>
      </w:pPr>
      <w:r>
        <w:rPr>
          <w:rFonts w:ascii="Calibri" w:hAnsi="Calibri"/>
          <w:b/>
          <w:color w:val="1A2533"/>
          <w:sz w:val="21"/>
        </w:rPr>
        <w:t>Strategic Assessment</w:t>
      </w:r>
    </w:p>
    <w:p>
      <w:pPr>
        <w:spacing w:before="0" w:after="100"/>
      </w:pPr>
      <w:r>
        <w:rPr>
          <w:rFonts w:ascii="Calibri" w:hAnsi="Calibri"/>
          <w:b w:val="0"/>
          <w:i w:val="0"/>
          <w:color w:val="333333"/>
          <w:sz w:val="21"/>
        </w:rPr>
        <w:t>Thomas Banks is, by objective credential, one of the two or three best-qualified family law attorneys in the Louisville metropolitan market. His digital authority position does not reflect this. The gap between his actual standing and his presented standing is the entire opportunity this engagement is designed to close. The market is consistent, the credentials are real, and the competitors have not built the type of authority content that will be built here. The window to establish dominant credential positioning in Louisville high-asset family law is open now.</w:t>
      </w:r>
    </w:p>
    <w:p>
      <w:pPr>
        <w:spacing w:before="160" w:after="80"/>
      </w:pPr>
      <w:r>
        <w:rPr>
          <w:rFonts w:ascii="Calibri" w:hAnsi="Calibri"/>
          <w:i/>
          <w:color w:val="888888"/>
          <w:sz w:val="18"/>
        </w:rPr>
        <w:t>— Daniel Frost, CSO,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04</w:t>
            </w:r>
          </w:p>
        </w:tc>
        <w:tc>
          <w:tcPr>
            <w:tcW w:type="dxa" w:w="4680"/>
            <w:shd w:fill="4A235A" w:color="auto" w:val="clear"/>
          </w:tcPr>
          <w:p>
            <w:pPr>
              <w:spacing w:before="120" w:after="120"/>
            </w:pPr>
            <w:r>
              <w:rPr>
                <w:rFonts w:ascii="Calibri" w:hAnsi="Calibri"/>
                <w:b/>
                <w:color w:val="FFFFFF"/>
                <w:sz w:val="22"/>
              </w:rPr>
              <w:t>Section 4: Belief-to-Buy Framework™ Map</w:t>
            </w:r>
          </w:p>
        </w:tc>
      </w:tr>
    </w:tbl>
    <w:p>
      <w:pPr>
        <w:spacing w:before="0" w:after="120"/>
      </w:pPr>
    </w:p>
    <w:p>
      <w:pPr>
        <w:spacing w:before="40" w:after="80"/>
      </w:pPr>
      <w:r>
        <w:rPr>
          <w:rFonts w:ascii="Calibri" w:hAnsi="Calibri"/>
          <w:i/>
          <w:color w:val="58585A"/>
          <w:sz w:val="19"/>
        </w:rPr>
        <w:t>Prepared by Dr. Raymond Cross, Board (Psychology of Buyer Behavior) + Vivienne Carr, CMO</w:t>
      </w:r>
    </w:p>
    <w:p>
      <w:pPr>
        <w:spacing w:before="160" w:after="40"/>
      </w:pPr>
      <w:r>
        <w:rPr>
          <w:rFonts w:ascii="Calibri" w:hAnsi="Calibri"/>
          <w:b/>
          <w:color w:val="1A2533"/>
          <w:sz w:val="21"/>
        </w:rPr>
        <w:t>Primary Avatar: High-Stakes Henry</w:t>
      </w:r>
    </w:p>
    <w:p>
      <w:pPr>
        <w:spacing w:before="0" w:after="100"/>
      </w:pPr>
      <w:r>
        <w:rPr>
          <w:rFonts w:ascii="Calibri" w:hAnsi="Calibri"/>
          <w:b w:val="0"/>
          <w:i w:val="0"/>
          <w:color w:val="333333"/>
          <w:sz w:val="21"/>
        </w:rPr>
        <w:t>Age 38–58. Executive, business owner, or senior professional in Louisville or Southern Indiana. Household income $200,000–$1,500,000+. His spouse has retained an attorney. His business, his assets, and his access to his children are at risk. He has never hired a family law attorney before, or his current attorney is not working.</w:t>
      </w:r>
    </w:p>
    <w:p>
      <w:pPr>
        <w:shd w:fill="F5F5F5" w:color="auto" w:val="clear"/>
        <w:spacing w:before="200" w:after="40"/>
      </w:pPr>
      <w:r>
        <w:rPr>
          <w:rFonts w:ascii="Calibri" w:hAnsi="Calibri"/>
          <w:b/>
          <w:color w:val="58585A"/>
          <w:sz w:val="22"/>
        </w:rPr>
        <w:t xml:space="preserve">  The Enemy Beliefs</w:t>
      </w:r>
    </w:p>
    <w:p>
      <w:pPr>
        <w:spacing w:before="0" w:after="100"/>
      </w:pPr>
      <w:r>
        <w:rPr>
          <w:rFonts w:ascii="Calibri" w:hAnsi="Calibri"/>
          <w:b w:val="0"/>
          <w:i w:val="0"/>
          <w:color w:val="333333"/>
          <w:sz w:val="21"/>
        </w:rPr>
        <w:t>Before mapping the full framework, we identify the active Enemy Beliefs Henry holds at the outset of his search. These are not ignorance — they are specific wrong assumptions he believes to be true, formed from past experience, what friends told him, and what he has absorbed from the culture around divorce.</w:t>
      </w:r>
    </w:p>
    <w:p>
      <w:pPr>
        <w:spacing w:before="0" w:after="100"/>
      </w:pPr>
      <w:r>
        <w:rPr>
          <w:rFonts w:ascii="Calibri" w:hAnsi="Calibri"/>
          <w:b w:val="0"/>
          <w:i w:val="0"/>
          <w:color w:val="333333"/>
          <w:sz w:val="21"/>
        </w:rPr>
      </w:r>
      <w:r>
        <w:rPr>
          <w:rFonts w:ascii="Calibri" w:hAnsi="Calibri"/>
          <w:b/>
          <w:i w:val="0"/>
          <w:color w:val="333333"/>
          <w:sz w:val="21"/>
        </w:rPr>
        <w:t>Enemy Belief 1 (Primary):</w:t>
      </w:r>
      <w:r>
        <w:rPr>
          <w:rFonts w:ascii="Calibri" w:hAnsi="Calibri"/>
          <w:b w:val="0"/>
          <w:i w:val="0"/>
          <w:color w:val="333333"/>
          <w:sz w:val="21"/>
        </w:rPr>
        <w:t xml:space="preserve"> </w:t>
      </w:r>
      <w:r>
        <w:rPr>
          <w:rFonts w:ascii="Calibri" w:hAnsi="Calibri"/>
          <w:b w:val="0"/>
          <w:i/>
          <w:color w:val="333333"/>
          <w:sz w:val="21"/>
        </w:rPr>
        <w:t>"All family law attorneys are basically the same — the outcome is mostly determined by the facts of the case and the judge, not by which attorney I hire."</w:t>
      </w:r>
      <w:r>
        <w:rPr>
          <w:rFonts w:ascii="Calibri" w:hAnsi="Calibri"/>
          <w:b w:val="0"/>
          <w:i w:val="0"/>
          <w:color w:val="333333"/>
          <w:sz w:val="21"/>
        </w:rPr>
      </w:r>
    </w:p>
    <w:p>
      <w:pPr>
        <w:spacing w:before="0" w:after="100"/>
      </w:pPr>
      <w:r>
        <w:rPr>
          <w:rFonts w:ascii="Calibri" w:hAnsi="Calibri"/>
          <w:b w:val="0"/>
          <w:i w:val="0"/>
          <w:color w:val="333333"/>
          <w:sz w:val="21"/>
        </w:rPr>
        <w:t>This is the most dangerous belief in the system because it removes the decision urgency. Henry formed it by watching colleagues go through divorces and attributing outcomes to circumstance rather than counsel. It causes him to underinvest in attorney selection — which is the most consequential decision of his divorce.</w:t>
      </w:r>
    </w:p>
    <w:p>
      <w:pPr>
        <w:spacing w:before="0" w:after="100"/>
      </w:pPr>
      <w:r>
        <w:rPr>
          <w:rFonts w:ascii="Calibri" w:hAnsi="Calibri"/>
          <w:b w:val="0"/>
          <w:i w:val="0"/>
          <w:color w:val="333333"/>
          <w:sz w:val="21"/>
        </w:rPr>
      </w:r>
      <w:r>
        <w:rPr>
          <w:rFonts w:ascii="Calibri" w:hAnsi="Calibri"/>
          <w:b/>
          <w:i w:val="0"/>
          <w:color w:val="333333"/>
          <w:sz w:val="21"/>
        </w:rPr>
        <w:t>Enemy Belief 2:</w:t>
      </w:r>
      <w:r>
        <w:rPr>
          <w:rFonts w:ascii="Calibri" w:hAnsi="Calibri"/>
          <w:b w:val="0"/>
          <w:i w:val="0"/>
          <w:color w:val="333333"/>
          <w:sz w:val="21"/>
        </w:rPr>
        <w:t xml:space="preserve"> </w:t>
      </w:r>
      <w:r>
        <w:rPr>
          <w:rFonts w:ascii="Calibri" w:hAnsi="Calibri"/>
          <w:b w:val="0"/>
          <w:i/>
          <w:color w:val="333333"/>
          <w:sz w:val="21"/>
        </w:rPr>
        <w:t>"Hiring an aggressive attorney will make me look bad to the judge and hurt my custody case."</w:t>
      </w:r>
      <w:r>
        <w:rPr>
          <w:rFonts w:ascii="Calibri" w:hAnsi="Calibri"/>
          <w:b w:val="0"/>
          <w:i w:val="0"/>
          <w:color w:val="333333"/>
          <w:sz w:val="21"/>
        </w:rPr>
      </w:r>
    </w:p>
    <w:p>
      <w:pPr>
        <w:spacing w:before="0" w:after="100"/>
      </w:pPr>
      <w:r>
        <w:rPr>
          <w:rFonts w:ascii="Calibri" w:hAnsi="Calibri"/>
          <w:b w:val="0"/>
          <w:i w:val="0"/>
          <w:color w:val="333333"/>
          <w:sz w:val="21"/>
        </w:rPr>
        <w:t>Henry heard this from a divorced friend or read it somewhere. It causes him to hesitate when he should be acting and to prioritize 'reasonable' over 'effective' in attorney selection. This belief is particularly costly when his spouse has retained an aggressive, credential-heavy attorney.</w:t>
      </w:r>
    </w:p>
    <w:p>
      <w:pPr>
        <w:spacing w:before="0" w:after="100"/>
      </w:pPr>
      <w:r>
        <w:rPr>
          <w:rFonts w:ascii="Calibri" w:hAnsi="Calibri"/>
          <w:b w:val="0"/>
          <w:i w:val="0"/>
          <w:color w:val="333333"/>
          <w:sz w:val="21"/>
        </w:rPr>
      </w:r>
      <w:r>
        <w:rPr>
          <w:rFonts w:ascii="Calibri" w:hAnsi="Calibri"/>
          <w:b/>
          <w:i w:val="0"/>
          <w:color w:val="333333"/>
          <w:sz w:val="21"/>
        </w:rPr>
        <w:t>Enemy Belief 3:</w:t>
      </w:r>
      <w:r>
        <w:rPr>
          <w:rFonts w:ascii="Calibri" w:hAnsi="Calibri"/>
          <w:b w:val="0"/>
          <w:i w:val="0"/>
          <w:color w:val="333333"/>
          <w:sz w:val="21"/>
        </w:rPr>
        <w:t xml:space="preserve"> </w:t>
      </w:r>
      <w:r>
        <w:rPr>
          <w:rFonts w:ascii="Calibri" w:hAnsi="Calibri"/>
          <w:b w:val="0"/>
          <w:i/>
          <w:color w:val="333333"/>
          <w:sz w:val="21"/>
        </w:rPr>
        <w:t>"The attorney's credentials don't really matter as much as his relationships with judges and how well he knows the local court system."</w:t>
      </w:r>
      <w:r>
        <w:rPr>
          <w:rFonts w:ascii="Calibri" w:hAnsi="Calibri"/>
          <w:b w:val="0"/>
          <w:i w:val="0"/>
          <w:color w:val="333333"/>
          <w:sz w:val="21"/>
        </w:rPr>
      </w:r>
    </w:p>
    <w:p>
      <w:pPr>
        <w:spacing w:before="0" w:after="100"/>
      </w:pPr>
      <w:r>
        <w:rPr>
          <w:rFonts w:ascii="Calibri" w:hAnsi="Calibri"/>
          <w:b w:val="0"/>
          <w:i w:val="0"/>
          <w:color w:val="333333"/>
          <w:sz w:val="21"/>
        </w:rPr>
        <w:t>Henry values insider knowledge, which is real and legitimate — but he has overcorrected to the point where he dismisses credential signals that would meaningfully predict his case outcome. This belief causes him to underweight the AAML Fellowship and financial expertise that make Thomas uniquely suited for his situation.</w:t>
      </w:r>
    </w:p>
    <w:p>
      <w:pPr>
        <w:spacing w:before="0" w:after="100"/>
      </w:pPr>
      <w:r>
        <w:rPr>
          <w:rFonts w:ascii="Calibri" w:hAnsi="Calibri"/>
          <w:b w:val="0"/>
          <w:i w:val="0"/>
          <w:color w:val="333333"/>
          <w:sz w:val="21"/>
        </w:rPr>
      </w:r>
      <w:r>
        <w:rPr>
          <w:rFonts w:ascii="Calibri" w:hAnsi="Calibri"/>
          <w:b/>
          <w:i w:val="0"/>
          <w:color w:val="333333"/>
          <w:sz w:val="21"/>
        </w:rPr>
        <w:t>Enemy Belief 4:</w:t>
      </w:r>
      <w:r>
        <w:rPr>
          <w:rFonts w:ascii="Calibri" w:hAnsi="Calibri"/>
          <w:b w:val="0"/>
          <w:i w:val="0"/>
          <w:color w:val="333333"/>
          <w:sz w:val="21"/>
        </w:rPr>
        <w:t xml:space="preserve"> </w:t>
      </w:r>
      <w:r>
        <w:rPr>
          <w:rFonts w:ascii="Calibri" w:hAnsi="Calibri"/>
          <w:b w:val="0"/>
          <w:i/>
          <w:color w:val="333333"/>
          <w:sz w:val="21"/>
        </w:rPr>
        <w:t>"A business valuation expert witness can handle the financial complexity — the attorney just needs to argue the case."</w:t>
      </w:r>
      <w:r>
        <w:rPr>
          <w:rFonts w:ascii="Calibri" w:hAnsi="Calibri"/>
          <w:b w:val="0"/>
          <w:i w:val="0"/>
          <w:color w:val="333333"/>
          <w:sz w:val="21"/>
        </w:rPr>
      </w:r>
    </w:p>
    <w:p>
      <w:pPr>
        <w:spacing w:before="0" w:after="100"/>
      </w:pPr>
      <w:r>
        <w:rPr>
          <w:rFonts w:ascii="Calibri" w:hAnsi="Calibri"/>
          <w:b w:val="0"/>
          <w:i w:val="0"/>
          <w:color w:val="333333"/>
          <w:sz w:val="21"/>
        </w:rPr>
        <w:t>Henry does not yet understand that most attorneys who bring in expert witnesses do not fully understand the valuation themselves, which means they cannot effectively challenge a valuation produced by the opposing side's expert. He does not know that Thomas can do both.</w:t>
      </w:r>
    </w:p>
    <w:p>
      <w:pPr>
        <w:shd w:fill="F5F5F5" w:color="auto" w:val="clear"/>
        <w:spacing w:before="200" w:after="40"/>
      </w:pPr>
      <w:r>
        <w:rPr>
          <w:rFonts w:ascii="Calibri" w:hAnsi="Calibri"/>
          <w:b/>
          <w:color w:val="58585A"/>
          <w:sz w:val="22"/>
        </w:rPr>
        <w:t xml:space="preserve">  BELIEF TRACK — Full Map</w:t>
      </w:r>
    </w:p>
    <w:p>
      <w:pPr>
        <w:spacing w:before="160" w:after="40"/>
      </w:pPr>
      <w:r>
        <w:rPr>
          <w:rFonts w:ascii="Calibri" w:hAnsi="Calibri"/>
          <w:b/>
          <w:color w:val="1A2533"/>
          <w:sz w:val="21"/>
        </w:rPr>
        <w:t>B1 — ENEMY BELIEF</w:t>
      </w:r>
    </w:p>
    <w:p>
      <w:pPr>
        <w:spacing w:before="40" w:after="80"/>
      </w:pPr>
      <w:r>
        <w:rPr>
          <w:rFonts w:ascii="Calibri" w:hAnsi="Calibri"/>
          <w:i/>
          <w:color w:val="58585A"/>
          <w:sz w:val="19"/>
        </w:rPr>
        <w:t>The assumption keeping Henry stuck</w:t>
      </w:r>
    </w:p>
    <w:p>
      <w:pPr>
        <w:spacing w:before="0" w:after="100"/>
      </w:pPr>
      <w:r>
        <w:rPr>
          <w:rFonts w:ascii="Calibri" w:hAnsi="Calibri"/>
          <w:b w:val="0"/>
          <w:i w:val="0"/>
          <w:color w:val="333333"/>
          <w:sz w:val="21"/>
        </w:rPr>
        <w:t xml:space="preserve">Henry's internal monologue: </w:t>
      </w:r>
      <w:r>
        <w:rPr>
          <w:rFonts w:ascii="Calibri" w:hAnsi="Calibri"/>
          <w:b w:val="0"/>
          <w:i/>
          <w:color w:val="333333"/>
          <w:sz w:val="21"/>
        </w:rPr>
        <w:t>"I'll look at a few attorneys, maybe go with whoever my friend used or whoever comes up first in Google. The outcome is going to depend on the judge and what the law says anyway. I just need someone competent who knows the local courts."</w:t>
      </w:r>
      <w:r>
        <w:rPr>
          <w:rFonts w:ascii="Calibri" w:hAnsi="Calibri"/>
          <w:b w:val="0"/>
          <w:i w:val="0"/>
          <w:color w:val="333333"/>
          <w:sz w:val="21"/>
        </w:rPr>
      </w:r>
    </w:p>
    <w:p>
      <w:pPr>
        <w:spacing w:before="0" w:after="100"/>
      </w:pPr>
      <w:r>
        <w:rPr>
          <w:rFonts w:ascii="Calibri" w:hAnsi="Calibri"/>
          <w:b w:val="0"/>
          <w:i w:val="0"/>
          <w:color w:val="333333"/>
          <w:sz w:val="21"/>
        </w:rPr>
        <w:t>Why he holds it: He has never been through this before. He has no framework for differentiating between attorneys at the substantive level. The credential signals that matter most — AAML, forensic accounting capability, trial record — are invisible to him because no one has ever explained what they mean in terms of his specific outcome.</w:t>
      </w:r>
    </w:p>
    <w:p>
      <w:pPr>
        <w:spacing w:before="0" w:after="100"/>
      </w:pPr>
      <w:r>
        <w:rPr>
          <w:rFonts w:ascii="Calibri" w:hAnsi="Calibri"/>
          <w:b w:val="0"/>
          <w:i w:val="0"/>
          <w:color w:val="333333"/>
          <w:sz w:val="21"/>
        </w:rPr>
        <w:t xml:space="preserve">What produces the transition to Pre-Frame: A piece of content, a friend's story, or a website headline that makes him pause and realize that attorney selection in a high-asset case with business interests is different from choosing any other professional service. The frame-shift message is: </w:t>
      </w:r>
      <w:r>
        <w:rPr>
          <w:rFonts w:ascii="Calibri" w:hAnsi="Calibri"/>
          <w:b w:val="0"/>
          <w:i/>
          <w:color w:val="333333"/>
          <w:sz w:val="21"/>
        </w:rPr>
        <w:t>"In a high-asset divorce involving a business, the gap between the right attorney and an adequate one is measured in hundreds of thousands of dollars — and the difference is not about aggressiveness. It's about who can read the numbers."</w:t>
      </w:r>
      <w:r>
        <w:rPr>
          <w:rFonts w:ascii="Calibri" w:hAnsi="Calibri"/>
          <w:b w:val="0"/>
          <w:i w:val="0"/>
          <w:color w:val="333333"/>
          <w:sz w:val="21"/>
        </w:rPr>
      </w:r>
    </w:p>
    <w:p>
      <w:pPr>
        <w:spacing w:before="160" w:after="40"/>
      </w:pPr>
      <w:r>
        <w:rPr>
          <w:rFonts w:ascii="Calibri" w:hAnsi="Calibri"/>
          <w:b/>
          <w:color w:val="1A2533"/>
          <w:sz w:val="21"/>
        </w:rPr>
        <w:t>B2 — PRE-FRAME</w:t>
      </w:r>
    </w:p>
    <w:p>
      <w:pPr>
        <w:spacing w:before="40" w:after="80"/>
      </w:pPr>
      <w:r>
        <w:rPr>
          <w:rFonts w:ascii="Calibri" w:hAnsi="Calibri"/>
          <w:i/>
          <w:color w:val="58585A"/>
          <w:sz w:val="19"/>
        </w:rPr>
        <w:t>How interpretation changes</w:t>
      </w:r>
    </w:p>
    <w:p>
      <w:pPr>
        <w:spacing w:before="0" w:after="100"/>
      </w:pPr>
      <w:r>
        <w:rPr>
          <w:rFonts w:ascii="Calibri" w:hAnsi="Calibri"/>
          <w:b w:val="0"/>
          <w:i w:val="0"/>
          <w:color w:val="333333"/>
          <w:sz w:val="21"/>
        </w:rPr>
        <w:t xml:space="preserve">Henry's internal monologue: </w:t>
      </w:r>
      <w:r>
        <w:rPr>
          <w:rFonts w:ascii="Calibri" w:hAnsi="Calibri"/>
          <w:b w:val="0"/>
          <w:i/>
          <w:color w:val="333333"/>
          <w:sz w:val="21"/>
        </w:rPr>
        <w:t>"Wait — if there's a business on the table and the other side has a sophisticated attorney, maybe this is more specialized than I thought. I should probably look at credentials more carefully."</w:t>
      </w:r>
      <w:r>
        <w:rPr>
          <w:rFonts w:ascii="Calibri" w:hAnsi="Calibri"/>
          <w:b w:val="0"/>
          <w:i w:val="0"/>
          <w:color w:val="333333"/>
          <w:sz w:val="21"/>
        </w:rPr>
      </w:r>
    </w:p>
    <w:p>
      <w:pPr>
        <w:spacing w:before="0" w:after="100"/>
      </w:pPr>
      <w:r>
        <w:rPr>
          <w:rFonts w:ascii="Calibri" w:hAnsi="Calibri"/>
          <w:b w:val="0"/>
          <w:i w:val="0"/>
          <w:color w:val="333333"/>
          <w:sz w:val="21"/>
        </w:rPr>
        <w:t>What changes: He has stopped filtering attorneys by proximity and general reputation and started filtering by financial sophistication and credential weight. He has not yet landed on Thomas — but he is now open to the right credential signals when he sees them.</w:t>
      </w:r>
    </w:p>
    <w:p>
      <w:pPr>
        <w:spacing w:before="0" w:after="100"/>
      </w:pPr>
      <w:r>
        <w:rPr>
          <w:rFonts w:ascii="Calibri" w:hAnsi="Calibri"/>
          <w:b w:val="0"/>
          <w:i w:val="0"/>
          <w:color w:val="333333"/>
          <w:sz w:val="21"/>
        </w:rPr>
        <w:t>What Thomas specifically shows: A website headline that leads with the forensic accounting angle and the AAML credential together — not as afterthoughts but as the primary value proposition. "Louisville's only AAML Fellow family law attorney with a personal background in forensic accounting and business valuation." That sentence, on the homepage, changes the filter Henry is using.</w:t>
      </w:r>
    </w:p>
    <w:p>
      <w:pPr>
        <w:spacing w:before="160" w:after="40"/>
      </w:pPr>
      <w:r>
        <w:rPr>
          <w:rFonts w:ascii="Calibri" w:hAnsi="Calibri"/>
          <w:b/>
          <w:color w:val="1A2533"/>
          <w:sz w:val="21"/>
        </w:rPr>
        <w:t>B3 — NEW WORLDVIEW</w:t>
      </w:r>
    </w:p>
    <w:p>
      <w:pPr>
        <w:spacing w:before="40" w:after="80"/>
      </w:pPr>
      <w:r>
        <w:rPr>
          <w:rFonts w:ascii="Calibri" w:hAnsi="Calibri"/>
          <w:i/>
          <w:color w:val="58585A"/>
          <w:sz w:val="19"/>
        </w:rPr>
        <w:t>A coherent explanation replaces fragments</w:t>
      </w:r>
    </w:p>
    <w:p>
      <w:pPr>
        <w:spacing w:before="0" w:after="100"/>
      </w:pPr>
      <w:r>
        <w:rPr>
          <w:rFonts w:ascii="Calibri" w:hAnsi="Calibri"/>
          <w:b w:val="0"/>
          <w:i w:val="0"/>
          <w:color w:val="333333"/>
          <w:sz w:val="21"/>
        </w:rPr>
        <w:t xml:space="preserve">Henry's internal monologue: </w:t>
      </w:r>
      <w:r>
        <w:rPr>
          <w:rFonts w:ascii="Calibri" w:hAnsi="Calibri"/>
          <w:b w:val="0"/>
          <w:i/>
          <w:color w:val="333333"/>
          <w:sz w:val="21"/>
        </w:rPr>
        <w:t>"I get it now. The business valuation is the battlefield of this divorce. Whoever controls that number — whoever can credibly challenge the opposing valuation or defend his own — has the most leverage in settlement or at trial. That's not a job for a general litigator. That's a job for someone who knows what they're looking at in a financial statement."</w:t>
      </w:r>
      <w:r>
        <w:rPr>
          <w:rFonts w:ascii="Calibri" w:hAnsi="Calibri"/>
          <w:b w:val="0"/>
          <w:i w:val="0"/>
          <w:color w:val="333333"/>
          <w:sz w:val="21"/>
        </w:rPr>
      </w:r>
    </w:p>
    <w:p>
      <w:pPr>
        <w:spacing w:before="0" w:after="100"/>
      </w:pPr>
      <w:r>
        <w:rPr>
          <w:rFonts w:ascii="Calibri" w:hAnsi="Calibri"/>
          <w:b w:val="0"/>
          <w:i w:val="0"/>
          <w:color w:val="333333"/>
          <w:sz w:val="21"/>
        </w:rPr>
        <w:t>What produces this: Educational content — a blog post, LinkedIn article, or YouTube video — that walks Henry through exactly what happens when a business is contested in a Kentucky divorce. What methods are used to value it. How numbers get manipulated. What a forensic accounting review looks like. How an attorney who understands accounting from first principles is categorically different from one who retains an expert and hopes for the best. Thomas writing this content is the proof of the worldview.</w:t>
      </w:r>
    </w:p>
    <w:p>
      <w:pPr>
        <w:spacing w:before="160" w:after="40"/>
      </w:pPr>
      <w:r>
        <w:rPr>
          <w:rFonts w:ascii="Calibri" w:hAnsi="Calibri"/>
          <w:b/>
          <w:color w:val="1A2533"/>
          <w:sz w:val="21"/>
        </w:rPr>
        <w:t>B4 — INTERNAL ALIGNMENT</w:t>
      </w:r>
    </w:p>
    <w:p>
      <w:pPr>
        <w:spacing w:before="40" w:after="80"/>
      </w:pPr>
      <w:r>
        <w:rPr>
          <w:rFonts w:ascii="Calibri" w:hAnsi="Calibri"/>
          <w:i/>
          <w:color w:val="58585A"/>
          <w:sz w:val="19"/>
        </w:rPr>
        <w:t>Past failures finally make sense</w:t>
      </w:r>
    </w:p>
    <w:p>
      <w:pPr>
        <w:spacing w:before="0" w:after="100"/>
      </w:pPr>
      <w:r>
        <w:rPr>
          <w:rFonts w:ascii="Calibri" w:hAnsi="Calibri"/>
          <w:b w:val="0"/>
          <w:i w:val="0"/>
          <w:color w:val="333333"/>
          <w:sz w:val="21"/>
        </w:rPr>
        <w:t xml:space="preserve">Henry's internal monologue: </w:t>
      </w:r>
      <w:r>
        <w:rPr>
          <w:rFonts w:ascii="Calibri" w:hAnsi="Calibri"/>
          <w:b w:val="0"/>
          <w:i/>
          <w:color w:val="333333"/>
          <w:sz w:val="21"/>
        </w:rPr>
        <w:t>"That's why my first attorney seemed lost when the other side produced their business valuation — he didn't really understand what he was looking at. He just sent it to a consultant and waited for an opinion he couldn't independently verify. I need someone who actually understands this."</w:t>
      </w:r>
      <w:r>
        <w:rPr>
          <w:rFonts w:ascii="Calibri" w:hAnsi="Calibri"/>
          <w:b w:val="0"/>
          <w:i w:val="0"/>
          <w:color w:val="333333"/>
          <w:sz w:val="21"/>
        </w:rPr>
      </w:r>
    </w:p>
    <w:p>
      <w:pPr>
        <w:spacing w:before="0" w:after="100"/>
      </w:pPr>
      <w:r>
        <w:rPr>
          <w:rFonts w:ascii="Calibri" w:hAnsi="Calibri"/>
          <w:b w:val="0"/>
          <w:i w:val="0"/>
          <w:color w:val="333333"/>
          <w:sz w:val="21"/>
        </w:rPr>
        <w:t>What produces this: A case study or testimonial from a business owner whose divorce involved contested valuation. The narrative follows the pattern: previous attorney couldn't navigate the financial complexity → came to Thomas → Thomas identified an issue in the opposing valuation that the consultant would have missed → outcome significantly better than expected. The case study makes the new worldview personal and retroactively explains Henry's prior experience with inadequate representation.</w:t>
      </w:r>
    </w:p>
    <w:p>
      <w:pPr>
        <w:spacing w:before="160" w:after="40"/>
      </w:pPr>
      <w:r>
        <w:rPr>
          <w:rFonts w:ascii="Calibri" w:hAnsi="Calibri"/>
          <w:b/>
          <w:color w:val="1A2533"/>
          <w:sz w:val="21"/>
        </w:rPr>
        <w:t>B5 — CERTAINTY</w:t>
      </w:r>
    </w:p>
    <w:p>
      <w:pPr>
        <w:spacing w:before="40" w:after="80"/>
      </w:pPr>
      <w:r>
        <w:rPr>
          <w:rFonts w:ascii="Calibri" w:hAnsi="Calibri"/>
          <w:i/>
          <w:color w:val="58585A"/>
          <w:sz w:val="19"/>
        </w:rPr>
        <w:t>The decision is no longer confused</w:t>
      </w:r>
    </w:p>
    <w:p>
      <w:pPr>
        <w:spacing w:before="0" w:after="100"/>
      </w:pPr>
      <w:r>
        <w:rPr>
          <w:rFonts w:ascii="Calibri" w:hAnsi="Calibri"/>
          <w:b w:val="0"/>
          <w:i w:val="0"/>
          <w:color w:val="333333"/>
          <w:sz w:val="21"/>
        </w:rPr>
        <w:t xml:space="preserve">Henry's internal monologue: </w:t>
      </w:r>
      <w:r>
        <w:rPr>
          <w:rFonts w:ascii="Calibri" w:hAnsi="Calibri"/>
          <w:b w:val="0"/>
          <w:i/>
          <w:color w:val="333333"/>
          <w:sz w:val="21"/>
        </w:rPr>
        <w:t>"Thomas Banks is the right attorney for my situation. AAML Fellow, 17 years exclusively in family law, accounting background that lets him work the financial complexity personally, licensed in both Kentucky and Indiana. There is no other attorney in Louisville who can credibly say all of that."</w:t>
      </w:r>
      <w:r>
        <w:rPr>
          <w:rFonts w:ascii="Calibri" w:hAnsi="Calibri"/>
          <w:b w:val="0"/>
          <w:i w:val="0"/>
          <w:color w:val="333333"/>
          <w:sz w:val="21"/>
        </w:rPr>
      </w:r>
    </w:p>
    <w:p>
      <w:pPr>
        <w:spacing w:before="0" w:after="100"/>
      </w:pPr>
      <w:r>
        <w:rPr>
          <w:rFonts w:ascii="Calibri" w:hAnsi="Calibri"/>
          <w:b w:val="0"/>
          <w:i w:val="0"/>
          <w:color w:val="333333"/>
          <w:sz w:val="21"/>
        </w:rPr>
        <w:t>What produces this: The consultation itself, combined with the credential stack being fully visible on the site. By the time Henry books a call, he is not seeking more information — he is confirming what he already believes. The consultation does not persuade; it completes.</w:t>
      </w:r>
    </w:p>
    <w:p>
      <w:pPr>
        <w:shd w:fill="F5F5F5" w:color="auto" w:val="clear"/>
        <w:spacing w:before="200" w:after="40"/>
      </w:pPr>
      <w:r>
        <w:rPr>
          <w:rFonts w:ascii="Calibri" w:hAnsi="Calibri"/>
          <w:b/>
          <w:color w:val="58585A"/>
          <w:sz w:val="22"/>
        </w:rPr>
        <w:t xml:space="preserve">  EMOTION TRACK — Full Map</w:t>
      </w:r>
    </w:p>
    <w:p>
      <w:pPr>
        <w:spacing w:before="160" w:after="40"/>
      </w:pPr>
      <w:r>
        <w:rPr>
          <w:rFonts w:ascii="Calibri" w:hAnsi="Calibri"/>
          <w:b/>
          <w:color w:val="1A2533"/>
          <w:sz w:val="21"/>
        </w:rPr>
        <w:t>E1 — DISSATISFACTION</w:t>
      </w:r>
    </w:p>
    <w:p>
      <w:pPr>
        <w:spacing w:before="40" w:after="80"/>
      </w:pPr>
      <w:r>
        <w:rPr>
          <w:rFonts w:ascii="Calibri" w:hAnsi="Calibri"/>
          <w:i/>
          <w:color w:val="58585A"/>
          <w:sz w:val="19"/>
        </w:rPr>
        <w:t>Low-grade frustration Henry has normalized</w:t>
      </w:r>
    </w:p>
    <w:p>
      <w:pPr>
        <w:spacing w:before="0" w:after="100"/>
      </w:pPr>
      <w:r>
        <w:rPr>
          <w:rFonts w:ascii="Calibri" w:hAnsi="Calibri"/>
          <w:b w:val="0"/>
          <w:i w:val="0"/>
          <w:color w:val="333333"/>
          <w:sz w:val="21"/>
        </w:rPr>
        <w:t>Henry's emotional state: He knows his divorce is going to be complicated. He knows his business is exposed. He has been operating on a low hum of dread for weeks or months — scanning attorney profiles without conviction, maybe meeting with someone who didn't inspire confidence. He has normalized this anxiety as the general experience of divorce. He is not yet searching with urgency because he has not yet understood that what he doesn't know is actively costing him.</w:t>
      </w:r>
    </w:p>
    <w:p>
      <w:pPr>
        <w:spacing w:before="0" w:after="100"/>
      </w:pPr>
      <w:r>
        <w:rPr>
          <w:rFonts w:ascii="Calibri" w:hAnsi="Calibri"/>
          <w:b w:val="0"/>
          <w:i w:val="0"/>
          <w:color w:val="333333"/>
          <w:sz w:val="21"/>
        </w:rPr>
        <w:t>What produces the transition: A headline, an article, a LinkedIn post that specifically names his situation. Not "divorce attorney." The words "high-asset divorce," "business valuation," "what your spouse's attorney already knows about your business" — language that makes his specific problem visible rather than generic.</w:t>
      </w:r>
    </w:p>
    <w:p>
      <w:pPr>
        <w:spacing w:before="160" w:after="40"/>
      </w:pPr>
      <w:r>
        <w:rPr>
          <w:rFonts w:ascii="Calibri" w:hAnsi="Calibri"/>
          <w:b/>
          <w:color w:val="1A2533"/>
          <w:sz w:val="21"/>
        </w:rPr>
        <w:t>E2 — CONTRAST</w:t>
      </w:r>
    </w:p>
    <w:p>
      <w:pPr>
        <w:spacing w:before="40" w:after="80"/>
      </w:pPr>
      <w:r>
        <w:rPr>
          <w:rFonts w:ascii="Calibri" w:hAnsi="Calibri"/>
          <w:i/>
          <w:color w:val="58585A"/>
          <w:sz w:val="19"/>
        </w:rPr>
        <w:t>Before vs. after becomes visible</w:t>
      </w:r>
    </w:p>
    <w:p>
      <w:pPr>
        <w:spacing w:before="0" w:after="100"/>
      </w:pPr>
      <w:r>
        <w:rPr>
          <w:rFonts w:ascii="Calibri" w:hAnsi="Calibri"/>
          <w:b w:val="0"/>
          <w:i w:val="0"/>
          <w:color w:val="333333"/>
          <w:sz w:val="21"/>
        </w:rPr>
        <w:t>Henry's emotional state: He sees, probably for the first time, what a divorce outcome looks like when handled by someone who actually understands the financial complexity versus what it looks like when it isn't. The contrast is not abstract — it is a story, a case study, a specific dollar figure or custody arrangement that was preserved because of counsel that could read the numbers.</w:t>
      </w:r>
    </w:p>
    <w:p>
      <w:pPr>
        <w:spacing w:before="0" w:after="100"/>
      </w:pPr>
      <w:r>
        <w:rPr>
          <w:rFonts w:ascii="Calibri" w:hAnsi="Calibri"/>
          <w:b w:val="0"/>
          <w:i w:val="0"/>
          <w:color w:val="333333"/>
          <w:sz w:val="21"/>
        </w:rPr>
        <w:t>What produces this: A before/after narrative. A past client of Thomas's who came in after a previous attorney failed to challenge a business valuation — and the delta between the initial valuation and the corrected one. Henry does not need the number to be enormous. He needs to understand that the delta exists and that it is predictable based on the quality of financial forensics applied.</w:t>
      </w:r>
    </w:p>
    <w:p>
      <w:pPr>
        <w:spacing w:before="160" w:after="40"/>
      </w:pPr>
      <w:r>
        <w:rPr>
          <w:rFonts w:ascii="Calibri" w:hAnsi="Calibri"/>
          <w:b/>
          <w:color w:val="1A2533"/>
          <w:sz w:val="21"/>
        </w:rPr>
        <w:t>E3 — DESIRE</w:t>
      </w:r>
    </w:p>
    <w:p>
      <w:pPr>
        <w:spacing w:before="40" w:after="80"/>
      </w:pPr>
      <w:r>
        <w:rPr>
          <w:rFonts w:ascii="Calibri" w:hAnsi="Calibri"/>
          <w:i/>
          <w:color w:val="58585A"/>
          <w:sz w:val="19"/>
        </w:rPr>
        <w:t>Henry wants the after-state</w:t>
      </w:r>
    </w:p>
    <w:p>
      <w:pPr>
        <w:spacing w:before="0" w:after="100"/>
      </w:pPr>
      <w:r>
        <w:rPr>
          <w:rFonts w:ascii="Calibri" w:hAnsi="Calibri"/>
          <w:b w:val="0"/>
          <w:i w:val="0"/>
          <w:color w:val="333333"/>
          <w:sz w:val="21"/>
        </w:rPr>
        <w:t>Henry's emotional state: He is no longer passively anxious. He wants a specific outcome: an attorney who will sit across from the opposing valuation and read it in real time, not send it upstairs. He wants to feel that his business — which may represent decades of work — is being defended by someone who understands what it is. He wants what the business owner in that case study got.</w:t>
      </w:r>
    </w:p>
    <w:p>
      <w:pPr>
        <w:spacing w:before="0" w:after="100"/>
      </w:pPr>
      <w:r>
        <w:rPr>
          <w:rFonts w:ascii="Calibri" w:hAnsi="Calibri"/>
          <w:b w:val="0"/>
          <w:i w:val="0"/>
          <w:color w:val="333333"/>
          <w:sz w:val="21"/>
        </w:rPr>
        <w:t>What produces this: Thomas's content speaking directly to what Henry is trying to protect. Not just legal services — protection of a business he built. A father's relationship with his children that cannot be negotiated away by an unprepared attorney. The after-state Henry desires is not "winning the divorce." It is "not losing what he built."</w:t>
      </w:r>
    </w:p>
    <w:p>
      <w:pPr>
        <w:spacing w:before="160" w:after="40"/>
      </w:pPr>
      <w:r>
        <w:rPr>
          <w:rFonts w:ascii="Calibri" w:hAnsi="Calibri"/>
          <w:b/>
          <w:color w:val="1A2533"/>
          <w:sz w:val="21"/>
        </w:rPr>
        <w:t>E4 — URGENCY</w:t>
      </w:r>
    </w:p>
    <w:p>
      <w:pPr>
        <w:spacing w:before="40" w:after="80"/>
      </w:pPr>
      <w:r>
        <w:rPr>
          <w:rFonts w:ascii="Calibri" w:hAnsi="Calibri"/>
          <w:i/>
          <w:color w:val="58585A"/>
          <w:sz w:val="19"/>
        </w:rPr>
        <w:t>Staying the same feels costly</w:t>
      </w:r>
    </w:p>
    <w:p>
      <w:pPr>
        <w:spacing w:before="0" w:after="100"/>
      </w:pPr>
      <w:r>
        <w:rPr>
          <w:rFonts w:ascii="Calibri" w:hAnsi="Calibri"/>
          <w:b w:val="0"/>
          <w:i w:val="0"/>
          <w:color w:val="333333"/>
          <w:sz w:val="21"/>
        </w:rPr>
        <w:t>Henry's emotional state: He has begun to calculate what each passing week costs him. His spouse's attorney is already building a case. Financial records are already being gathered. The longer he waits to retain counsel at the right level, the further behind he starts. The real cost of inaction is not a manufactured deadline — it is the legitimate reality of contested divorce: preparation time, discovery, the ability to retain forensic accounting resources before the opposing side locks down the narrative.</w:t>
      </w:r>
    </w:p>
    <w:p>
      <w:pPr>
        <w:spacing w:before="0" w:after="100"/>
      </w:pPr>
      <w:r>
        <w:rPr>
          <w:rFonts w:ascii="Calibri" w:hAnsi="Calibri"/>
          <w:b w:val="0"/>
          <w:i w:val="0"/>
          <w:color w:val="333333"/>
          <w:sz w:val="21"/>
        </w:rPr>
        <w:t>What produces this: Direct content about the cost of delayed action in high-asset divorce. Not scare tactics. The actual mechanics: discovery timelines, the window to challenge a preliminary valuation, why the first 30 days of legal strategy in a business-involved divorce have outsized impact on the eventual outcome. Henry needs to understand that waiting two weeks to make a call is not neutral — it is two weeks the other side is using productively.</w:t>
      </w:r>
    </w:p>
    <w:p>
      <w:pPr>
        <w:spacing w:before="160" w:after="40"/>
      </w:pPr>
      <w:r>
        <w:rPr>
          <w:rFonts w:ascii="Calibri" w:hAnsi="Calibri"/>
          <w:b/>
          <w:color w:val="1A2533"/>
          <w:sz w:val="21"/>
        </w:rPr>
        <w:t>E5 — RELIEF</w:t>
      </w:r>
    </w:p>
    <w:p>
      <w:pPr>
        <w:spacing w:before="40" w:after="80"/>
      </w:pPr>
      <w:r>
        <w:rPr>
          <w:rFonts w:ascii="Calibri" w:hAnsi="Calibri"/>
          <w:i/>
          <w:color w:val="58585A"/>
          <w:sz w:val="19"/>
        </w:rPr>
        <w:t>Action feels safe and obvious</w:t>
      </w:r>
    </w:p>
    <w:p>
      <w:pPr>
        <w:spacing w:before="0" w:after="100"/>
      </w:pPr>
      <w:r>
        <w:rPr>
          <w:rFonts w:ascii="Calibri" w:hAnsi="Calibri"/>
          <w:b w:val="0"/>
          <w:i w:val="0"/>
          <w:color w:val="333333"/>
          <w:sz w:val="21"/>
        </w:rPr>
        <w:t>Henry's emotional state: He has done the research. He has read the content. He has seen the credentials, understood why they matter in his specific situation, and felt the contrast between where he is and where he could be. Booking a consultation with Thomas does not feel like a risk. It feels like the first responsible thing he has done since his wife said she was filing. The anxiety of not having representation shifts to the relief of having the right representation.</w:t>
      </w:r>
    </w:p>
    <w:p>
      <w:pPr>
        <w:spacing w:before="0" w:after="100"/>
      </w:pPr>
      <w:r>
        <w:rPr>
          <w:rFonts w:ascii="Calibri" w:hAnsi="Calibri"/>
          <w:b w:val="0"/>
          <w:i w:val="0"/>
          <w:color w:val="333333"/>
          <w:sz w:val="21"/>
        </w:rPr>
        <w:t>What produces this: The consultation availability, the clear CTA, and — critically — the framing of the first call as a diagnostic rather than a sales conversation. Thomas does not pitch in the first consultation. He assesses. That framing removes the final hesitation. Henry is not committing to $50,000 in legal fees — he is having a conversation with the AAML Fellow who understands his situation to find out what he is actually dealing with.</w:t>
      </w:r>
    </w:p>
    <w:p>
      <w:pPr>
        <w:shd w:fill="F5F5F5" w:color="auto" w:val="clear"/>
        <w:spacing w:before="200" w:after="40"/>
      </w:pPr>
      <w:r>
        <w:rPr>
          <w:rFonts w:ascii="Calibri" w:hAnsi="Calibri"/>
          <w:b/>
          <w:color w:val="58585A"/>
          <w:sz w:val="22"/>
        </w:rPr>
        <w:t xml:space="preserve">  Master Content Map</w:t>
      </w:r>
    </w:p>
    <w:tbl>
      <w:tblPr>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fill="1A2533" w:color="auto" w:val="clear"/>
          </w:tcPr>
          <w:p>
            <w:pPr>
              <w:spacing w:before="80" w:after="80"/>
            </w:pPr>
            <w:r>
              <w:rPr>
                <w:rFonts w:ascii="Calibri" w:hAnsi="Calibri"/>
                <w:b/>
                <w:color w:val="FFFFFF"/>
                <w:sz w:val="18"/>
              </w:rPr>
              <w:t>Stage</w:t>
            </w:r>
          </w:p>
        </w:tc>
        <w:tc>
          <w:tcPr>
            <w:tcW w:type="dxa" w:w="1560"/>
            <w:shd w:fill="1A2533" w:color="auto" w:val="clear"/>
          </w:tcPr>
          <w:p>
            <w:pPr>
              <w:spacing w:before="80" w:after="80"/>
            </w:pPr>
            <w:r>
              <w:rPr>
                <w:rFonts w:ascii="Calibri" w:hAnsi="Calibri"/>
                <w:b/>
                <w:color w:val="FFFFFF"/>
                <w:sz w:val="18"/>
              </w:rPr>
              <w:t>Belief Stage</w:t>
            </w:r>
          </w:p>
        </w:tc>
        <w:tc>
          <w:tcPr>
            <w:tcW w:type="dxa" w:w="1560"/>
            <w:shd w:fill="1A2533" w:color="auto" w:val="clear"/>
          </w:tcPr>
          <w:p>
            <w:pPr>
              <w:spacing w:before="80" w:after="80"/>
            </w:pPr>
            <w:r>
              <w:rPr>
                <w:rFonts w:ascii="Calibri" w:hAnsi="Calibri"/>
                <w:b/>
                <w:color w:val="FFFFFF"/>
                <w:sz w:val="18"/>
              </w:rPr>
              <w:t>Emotion Stage</w:t>
            </w:r>
          </w:p>
        </w:tc>
        <w:tc>
          <w:tcPr>
            <w:tcW w:type="dxa" w:w="1560"/>
            <w:shd w:fill="1A2533" w:color="auto" w:val="clear"/>
          </w:tcPr>
          <w:p>
            <w:pPr>
              <w:spacing w:before="80" w:after="80"/>
            </w:pPr>
            <w:r>
              <w:rPr>
                <w:rFonts w:ascii="Calibri" w:hAnsi="Calibri"/>
                <w:b/>
                <w:color w:val="FFFFFF"/>
                <w:sz w:val="18"/>
              </w:rPr>
              <w:t>Content Type</w:t>
            </w:r>
          </w:p>
        </w:tc>
        <w:tc>
          <w:tcPr>
            <w:tcW w:type="dxa" w:w="1560"/>
            <w:shd w:fill="1A2533" w:color="auto" w:val="clear"/>
          </w:tcPr>
          <w:p>
            <w:pPr>
              <w:spacing w:before="80" w:after="80"/>
            </w:pPr>
            <w:r>
              <w:rPr>
                <w:rFonts w:ascii="Calibri" w:hAnsi="Calibri"/>
                <w:b/>
                <w:color w:val="FFFFFF"/>
                <w:sz w:val="18"/>
              </w:rPr>
              <w:t>Core Message</w:t>
            </w:r>
          </w:p>
        </w:tc>
        <w:tc>
          <w:tcPr>
            <w:tcW w:type="dxa" w:w="1560"/>
            <w:shd w:fill="1A2533" w:color="auto" w:val="clear"/>
          </w:tcPr>
          <w:p>
            <w:pPr>
              <w:spacing w:before="80" w:after="80"/>
            </w:pPr>
            <w:r>
              <w:rPr>
                <w:rFonts w:ascii="Calibri" w:hAnsi="Calibri"/>
                <w:b/>
                <w:color w:val="FFFFFF"/>
                <w:sz w:val="18"/>
              </w:rPr>
              <w:t>CTA</w:t>
            </w:r>
          </w:p>
        </w:tc>
      </w:tr>
      <w:tr>
        <w:tc>
          <w:tcPr>
            <w:tcW w:type="dxa" w:w="1560"/>
            <w:shd w:fill="FFFFFF" w:color="auto" w:val="clear"/>
          </w:tcPr>
          <w:p>
            <w:pPr>
              <w:spacing w:before="80" w:after="80"/>
            </w:pPr>
            <w:r>
              <w:rPr>
                <w:rFonts w:ascii="Calibri" w:hAnsi="Calibri"/>
                <w:b w:val="0"/>
                <w:color w:val="333333"/>
                <w:sz w:val="18"/>
              </w:rPr>
              <w:t>B1/E1</w:t>
            </w:r>
          </w:p>
        </w:tc>
        <w:tc>
          <w:tcPr>
            <w:tcW w:type="dxa" w:w="1560"/>
            <w:shd w:fill="FFFFFF" w:color="auto" w:val="clear"/>
          </w:tcPr>
          <w:p>
            <w:pPr>
              <w:spacing w:before="80" w:after="80"/>
            </w:pPr>
            <w:r>
              <w:rPr>
                <w:rFonts w:ascii="Calibri" w:hAnsi="Calibri"/>
                <w:b w:val="0"/>
                <w:color w:val="333333"/>
                <w:sz w:val="18"/>
              </w:rPr>
              <w:t>Enemy Belief</w:t>
            </w:r>
          </w:p>
        </w:tc>
        <w:tc>
          <w:tcPr>
            <w:tcW w:type="dxa" w:w="1560"/>
            <w:shd w:fill="FFFFFF" w:color="auto" w:val="clear"/>
          </w:tcPr>
          <w:p>
            <w:pPr>
              <w:spacing w:before="80" w:after="80"/>
            </w:pPr>
            <w:r>
              <w:rPr>
                <w:rFonts w:ascii="Calibri" w:hAnsi="Calibri"/>
                <w:b w:val="0"/>
                <w:color w:val="333333"/>
                <w:sz w:val="18"/>
              </w:rPr>
              <w:t>Dissatisfaction</w:t>
            </w:r>
          </w:p>
        </w:tc>
        <w:tc>
          <w:tcPr>
            <w:tcW w:type="dxa" w:w="1560"/>
            <w:shd w:fill="FFFFFF" w:color="auto" w:val="clear"/>
          </w:tcPr>
          <w:p>
            <w:pPr>
              <w:spacing w:before="80" w:after="80"/>
            </w:pPr>
            <w:r>
              <w:rPr>
                <w:rFonts w:ascii="Calibri" w:hAnsi="Calibri"/>
                <w:b w:val="0"/>
                <w:color w:val="333333"/>
                <w:sz w:val="18"/>
              </w:rPr>
              <w:t>Pattern-interrupt headline / LinkedIn hook / blog intro</w:t>
            </w:r>
          </w:p>
        </w:tc>
        <w:tc>
          <w:tcPr>
            <w:tcW w:type="dxa" w:w="1560"/>
            <w:shd w:fill="FFFFFF" w:color="auto" w:val="clear"/>
          </w:tcPr>
          <w:p>
            <w:pPr>
              <w:spacing w:before="80" w:after="80"/>
            </w:pPr>
            <w:r>
              <w:rPr>
                <w:rFonts w:ascii="Calibri" w:hAnsi="Calibri"/>
                <w:b w:val="0"/>
                <w:color w:val="333333"/>
                <w:sz w:val="18"/>
              </w:rPr>
              <w:t>"Not all family law attorneys are equipped to handle what your business is worth to the other side."</w:t>
            </w:r>
          </w:p>
        </w:tc>
        <w:tc>
          <w:tcPr>
            <w:tcW w:type="dxa" w:w="1560"/>
            <w:shd w:fill="FFFFFF" w:color="auto" w:val="clear"/>
          </w:tcPr>
          <w:p>
            <w:pPr>
              <w:spacing w:before="80" w:after="80"/>
            </w:pPr>
            <w:r>
              <w:rPr>
                <w:rFonts w:ascii="Calibri" w:hAnsi="Calibri"/>
                <w:b w:val="0"/>
                <w:color w:val="333333"/>
                <w:sz w:val="18"/>
              </w:rPr>
              <w:t>Read this article / Watch this</w:t>
            </w:r>
          </w:p>
        </w:tc>
      </w:tr>
      <w:tr>
        <w:tc>
          <w:tcPr>
            <w:tcW w:type="dxa" w:w="1560"/>
            <w:shd w:fill="EAF6FC" w:color="auto" w:val="clear"/>
          </w:tcPr>
          <w:p>
            <w:pPr>
              <w:spacing w:before="80" w:after="80"/>
            </w:pPr>
            <w:r>
              <w:rPr>
                <w:rFonts w:ascii="Calibri" w:hAnsi="Calibri"/>
                <w:b w:val="0"/>
                <w:color w:val="333333"/>
                <w:sz w:val="18"/>
              </w:rPr>
              <w:t>B2/E2</w:t>
            </w:r>
          </w:p>
        </w:tc>
        <w:tc>
          <w:tcPr>
            <w:tcW w:type="dxa" w:w="1560"/>
            <w:shd w:fill="EAF6FC" w:color="auto" w:val="clear"/>
          </w:tcPr>
          <w:p>
            <w:pPr>
              <w:spacing w:before="80" w:after="80"/>
            </w:pPr>
            <w:r>
              <w:rPr>
                <w:rFonts w:ascii="Calibri" w:hAnsi="Calibri"/>
                <w:b w:val="0"/>
                <w:color w:val="333333"/>
                <w:sz w:val="18"/>
              </w:rPr>
              <w:t>Pre-Frame</w:t>
            </w:r>
          </w:p>
        </w:tc>
        <w:tc>
          <w:tcPr>
            <w:tcW w:type="dxa" w:w="1560"/>
            <w:shd w:fill="EAF6FC" w:color="auto" w:val="clear"/>
          </w:tcPr>
          <w:p>
            <w:pPr>
              <w:spacing w:before="80" w:after="80"/>
            </w:pPr>
            <w:r>
              <w:rPr>
                <w:rFonts w:ascii="Calibri" w:hAnsi="Calibri"/>
                <w:b w:val="0"/>
                <w:color w:val="333333"/>
                <w:sz w:val="18"/>
              </w:rPr>
              <w:t>Contrast</w:t>
            </w:r>
          </w:p>
        </w:tc>
        <w:tc>
          <w:tcPr>
            <w:tcW w:type="dxa" w:w="1560"/>
            <w:shd w:fill="EAF6FC" w:color="auto" w:val="clear"/>
          </w:tcPr>
          <w:p>
            <w:pPr>
              <w:spacing w:before="80" w:after="80"/>
            </w:pPr>
            <w:r>
              <w:rPr>
                <w:rFonts w:ascii="Calibri" w:hAnsi="Calibri"/>
                <w:b w:val="0"/>
                <w:color w:val="333333"/>
                <w:sz w:val="18"/>
              </w:rPr>
              <w:t>Educational article / LinkedIn post / website homepage</w:t>
            </w:r>
          </w:p>
        </w:tc>
        <w:tc>
          <w:tcPr>
            <w:tcW w:type="dxa" w:w="1560"/>
            <w:shd w:fill="EAF6FC" w:color="auto" w:val="clear"/>
          </w:tcPr>
          <w:p>
            <w:pPr>
              <w:spacing w:before="80" w:after="80"/>
            </w:pPr>
            <w:r>
              <w:rPr>
                <w:rFonts w:ascii="Calibri" w:hAnsi="Calibri"/>
                <w:b w:val="0"/>
                <w:color w:val="333333"/>
                <w:sz w:val="18"/>
              </w:rPr>
              <w:t>"An AAML Fellow with a forensic accounting background isn't a better version of the same thing — it's a different instrument entirely."</w:t>
            </w:r>
          </w:p>
        </w:tc>
        <w:tc>
          <w:tcPr>
            <w:tcW w:type="dxa" w:w="1560"/>
            <w:shd w:fill="EAF6FC" w:color="auto" w:val="clear"/>
          </w:tcPr>
          <w:p>
            <w:pPr>
              <w:spacing w:before="80" w:after="80"/>
            </w:pPr>
            <w:r>
              <w:rPr>
                <w:rFonts w:ascii="Calibri" w:hAnsi="Calibri"/>
                <w:b w:val="0"/>
                <w:color w:val="333333"/>
                <w:sz w:val="18"/>
              </w:rPr>
              <w:t>Download the guide / Keep reading</w:t>
            </w:r>
          </w:p>
        </w:tc>
      </w:tr>
      <w:tr>
        <w:tc>
          <w:tcPr>
            <w:tcW w:type="dxa" w:w="1560"/>
            <w:shd w:fill="FFFFFF" w:color="auto" w:val="clear"/>
          </w:tcPr>
          <w:p>
            <w:pPr>
              <w:spacing w:before="80" w:after="80"/>
            </w:pPr>
            <w:r>
              <w:rPr>
                <w:rFonts w:ascii="Calibri" w:hAnsi="Calibri"/>
                <w:b w:val="0"/>
                <w:color w:val="333333"/>
                <w:sz w:val="18"/>
              </w:rPr>
              <w:t>B3/E3</w:t>
            </w:r>
          </w:p>
        </w:tc>
        <w:tc>
          <w:tcPr>
            <w:tcW w:type="dxa" w:w="1560"/>
            <w:shd w:fill="FFFFFF" w:color="auto" w:val="clear"/>
          </w:tcPr>
          <w:p>
            <w:pPr>
              <w:spacing w:before="80" w:after="80"/>
            </w:pPr>
            <w:r>
              <w:rPr>
                <w:rFonts w:ascii="Calibri" w:hAnsi="Calibri"/>
                <w:b w:val="0"/>
                <w:color w:val="333333"/>
                <w:sz w:val="18"/>
              </w:rPr>
              <w:t>New Worldview</w:t>
            </w:r>
          </w:p>
        </w:tc>
        <w:tc>
          <w:tcPr>
            <w:tcW w:type="dxa" w:w="1560"/>
            <w:shd w:fill="FFFFFF" w:color="auto" w:val="clear"/>
          </w:tcPr>
          <w:p>
            <w:pPr>
              <w:spacing w:before="80" w:after="80"/>
            </w:pPr>
            <w:r>
              <w:rPr>
                <w:rFonts w:ascii="Calibri" w:hAnsi="Calibri"/>
                <w:b w:val="0"/>
                <w:color w:val="333333"/>
                <w:sz w:val="18"/>
              </w:rPr>
              <w:t>Desire</w:t>
            </w:r>
          </w:p>
        </w:tc>
        <w:tc>
          <w:tcPr>
            <w:tcW w:type="dxa" w:w="1560"/>
            <w:shd w:fill="FFFFFF" w:color="auto" w:val="clear"/>
          </w:tcPr>
          <w:p>
            <w:pPr>
              <w:spacing w:before="80" w:after="80"/>
            </w:pPr>
            <w:r>
              <w:rPr>
                <w:rFonts w:ascii="Calibri" w:hAnsi="Calibri"/>
                <w:b w:val="0"/>
                <w:color w:val="333333"/>
                <w:sz w:val="18"/>
              </w:rPr>
              <w:t>Long-form blog / YouTube explainer / email #2 in nurture</w:t>
            </w:r>
          </w:p>
        </w:tc>
        <w:tc>
          <w:tcPr>
            <w:tcW w:type="dxa" w:w="1560"/>
            <w:shd w:fill="FFFFFF" w:color="auto" w:val="clear"/>
          </w:tcPr>
          <w:p>
            <w:pPr>
              <w:spacing w:before="80" w:after="80"/>
            </w:pPr>
            <w:r>
              <w:rPr>
                <w:rFonts w:ascii="Calibri" w:hAnsi="Calibri"/>
                <w:b w:val="0"/>
                <w:color w:val="333333"/>
                <w:sz w:val="18"/>
              </w:rPr>
              <w:t>"Here is exactly what happens to a contested business in a Kentucky divorce — and why the outcome turns on who reads the valuation first."</w:t>
            </w:r>
          </w:p>
        </w:tc>
        <w:tc>
          <w:tcPr>
            <w:tcW w:type="dxa" w:w="1560"/>
            <w:shd w:fill="FFFFFF" w:color="auto" w:val="clear"/>
          </w:tcPr>
          <w:p>
            <w:pPr>
              <w:spacing w:before="80" w:after="80"/>
            </w:pPr>
            <w:r>
              <w:rPr>
                <w:rFonts w:ascii="Calibri" w:hAnsi="Calibri"/>
                <w:b w:val="0"/>
                <w:color w:val="333333"/>
                <w:sz w:val="18"/>
              </w:rPr>
              <w:t>Read the full guide / Book a call to discuss your situation</w:t>
            </w:r>
          </w:p>
        </w:tc>
      </w:tr>
      <w:tr>
        <w:tc>
          <w:tcPr>
            <w:tcW w:type="dxa" w:w="1560"/>
            <w:shd w:fill="EAF6FC" w:color="auto" w:val="clear"/>
          </w:tcPr>
          <w:p>
            <w:pPr>
              <w:spacing w:before="80" w:after="80"/>
            </w:pPr>
            <w:r>
              <w:rPr>
                <w:rFonts w:ascii="Calibri" w:hAnsi="Calibri"/>
                <w:b w:val="0"/>
                <w:color w:val="333333"/>
                <w:sz w:val="18"/>
              </w:rPr>
              <w:t>B4/E4</w:t>
            </w:r>
          </w:p>
        </w:tc>
        <w:tc>
          <w:tcPr>
            <w:tcW w:type="dxa" w:w="1560"/>
            <w:shd w:fill="EAF6FC" w:color="auto" w:val="clear"/>
          </w:tcPr>
          <w:p>
            <w:pPr>
              <w:spacing w:before="80" w:after="80"/>
            </w:pPr>
            <w:r>
              <w:rPr>
                <w:rFonts w:ascii="Calibri" w:hAnsi="Calibri"/>
                <w:b w:val="0"/>
                <w:color w:val="333333"/>
                <w:sz w:val="18"/>
              </w:rPr>
              <w:t>Internal Alignment</w:t>
            </w:r>
          </w:p>
        </w:tc>
        <w:tc>
          <w:tcPr>
            <w:tcW w:type="dxa" w:w="1560"/>
            <w:shd w:fill="EAF6FC" w:color="auto" w:val="clear"/>
          </w:tcPr>
          <w:p>
            <w:pPr>
              <w:spacing w:before="80" w:after="80"/>
            </w:pPr>
            <w:r>
              <w:rPr>
                <w:rFonts w:ascii="Calibri" w:hAnsi="Calibri"/>
                <w:b w:val="0"/>
                <w:color w:val="333333"/>
                <w:sz w:val="18"/>
              </w:rPr>
              <w:t>Urgency</w:t>
            </w:r>
          </w:p>
        </w:tc>
        <w:tc>
          <w:tcPr>
            <w:tcW w:type="dxa" w:w="1560"/>
            <w:shd w:fill="EAF6FC" w:color="auto" w:val="clear"/>
          </w:tcPr>
          <w:p>
            <w:pPr>
              <w:spacing w:before="80" w:after="80"/>
            </w:pPr>
            <w:r>
              <w:rPr>
                <w:rFonts w:ascii="Calibri" w:hAnsi="Calibri"/>
                <w:b w:val="0"/>
                <w:color w:val="333333"/>
                <w:sz w:val="18"/>
              </w:rPr>
              <w:t>Case study / client story / email #3</w:t>
            </w:r>
          </w:p>
        </w:tc>
        <w:tc>
          <w:tcPr>
            <w:tcW w:type="dxa" w:w="1560"/>
            <w:shd w:fill="EAF6FC" w:color="auto" w:val="clear"/>
          </w:tcPr>
          <w:p>
            <w:pPr>
              <w:spacing w:before="80" w:after="80"/>
            </w:pPr>
            <w:r>
              <w:rPr>
                <w:rFonts w:ascii="Calibri" w:hAnsi="Calibri"/>
                <w:b w:val="0"/>
                <w:color w:val="333333"/>
                <w:sz w:val="18"/>
              </w:rPr>
              <w:t>"A business owner came to Thomas after his first attorney passed the valuation to a consultant who missed $340,000 in omitted liabilities. The corrected valuation changed the settlement."</w:t>
            </w:r>
          </w:p>
        </w:tc>
        <w:tc>
          <w:tcPr>
            <w:tcW w:type="dxa" w:w="1560"/>
            <w:shd w:fill="EAF6FC" w:color="auto" w:val="clear"/>
          </w:tcPr>
          <w:p>
            <w:pPr>
              <w:spacing w:before="80" w:after="80"/>
            </w:pPr>
            <w:r>
              <w:rPr>
                <w:rFonts w:ascii="Calibri" w:hAnsi="Calibri"/>
                <w:b w:val="0"/>
                <w:color w:val="333333"/>
                <w:sz w:val="18"/>
              </w:rPr>
              <w:t>Book a consultation</w:t>
            </w:r>
          </w:p>
        </w:tc>
      </w:tr>
      <w:tr>
        <w:tc>
          <w:tcPr>
            <w:tcW w:type="dxa" w:w="1560"/>
            <w:shd w:fill="FFFFFF" w:color="auto" w:val="clear"/>
          </w:tcPr>
          <w:p>
            <w:pPr>
              <w:spacing w:before="80" w:after="80"/>
            </w:pPr>
            <w:r>
              <w:rPr>
                <w:rFonts w:ascii="Calibri" w:hAnsi="Calibri"/>
                <w:b w:val="0"/>
                <w:color w:val="333333"/>
                <w:sz w:val="18"/>
              </w:rPr>
              <w:t>B5/E5</w:t>
            </w:r>
          </w:p>
        </w:tc>
        <w:tc>
          <w:tcPr>
            <w:tcW w:type="dxa" w:w="1560"/>
            <w:shd w:fill="FFFFFF" w:color="auto" w:val="clear"/>
          </w:tcPr>
          <w:p>
            <w:pPr>
              <w:spacing w:before="80" w:after="80"/>
            </w:pPr>
            <w:r>
              <w:rPr>
                <w:rFonts w:ascii="Calibri" w:hAnsi="Calibri"/>
                <w:b w:val="0"/>
                <w:color w:val="333333"/>
                <w:sz w:val="18"/>
              </w:rPr>
              <w:t>Certainty</w:t>
            </w:r>
          </w:p>
        </w:tc>
        <w:tc>
          <w:tcPr>
            <w:tcW w:type="dxa" w:w="1560"/>
            <w:shd w:fill="FFFFFF" w:color="auto" w:val="clear"/>
          </w:tcPr>
          <w:p>
            <w:pPr>
              <w:spacing w:before="80" w:after="80"/>
            </w:pPr>
            <w:r>
              <w:rPr>
                <w:rFonts w:ascii="Calibri" w:hAnsi="Calibri"/>
                <w:b w:val="0"/>
                <w:color w:val="333333"/>
                <w:sz w:val="18"/>
              </w:rPr>
              <w:t>Relief</w:t>
            </w:r>
          </w:p>
        </w:tc>
        <w:tc>
          <w:tcPr>
            <w:tcW w:type="dxa" w:w="1560"/>
            <w:shd w:fill="FFFFFF" w:color="auto" w:val="clear"/>
          </w:tcPr>
          <w:p>
            <w:pPr>
              <w:spacing w:before="80" w:after="80"/>
            </w:pPr>
            <w:r>
              <w:rPr>
                <w:rFonts w:ascii="Calibri" w:hAnsi="Calibri"/>
                <w:b w:val="0"/>
                <w:color w:val="333333"/>
                <w:sz w:val="18"/>
              </w:rPr>
              <w:t>Consultation page / final nurture email / testimonials</w:t>
            </w:r>
          </w:p>
        </w:tc>
        <w:tc>
          <w:tcPr>
            <w:tcW w:type="dxa" w:w="1560"/>
            <w:shd w:fill="FFFFFF" w:color="auto" w:val="clear"/>
          </w:tcPr>
          <w:p>
            <w:pPr>
              <w:spacing w:before="80" w:after="80"/>
            </w:pPr>
            <w:r>
              <w:rPr>
                <w:rFonts w:ascii="Calibri" w:hAnsi="Calibri"/>
                <w:b w:val="0"/>
                <w:color w:val="333333"/>
                <w:sz w:val="18"/>
              </w:rPr>
              <w:t>"17 years. AAML Fellow. Personal forensic accounting capability. Licensed in Kentucky and Indiana. There is a reason High-Stakes clients call Thomas Banks first."</w:t>
            </w:r>
          </w:p>
        </w:tc>
        <w:tc>
          <w:tcPr>
            <w:tcW w:type="dxa" w:w="1560"/>
            <w:shd w:fill="FFFFFF" w:color="auto" w:val="clear"/>
          </w:tcPr>
          <w:p>
            <w:pPr>
              <w:spacing w:before="80" w:after="80"/>
            </w:pPr>
            <w:r>
              <w:rPr>
                <w:rFonts w:ascii="Calibri" w:hAnsi="Calibri"/>
                <w:b w:val="0"/>
                <w:color w:val="333333"/>
                <w:sz w:val="18"/>
              </w:rPr>
              <w:t>Book Your Consultation</w:t>
            </w:r>
          </w:p>
        </w:tc>
      </w:tr>
    </w:tbl>
    <w:p>
      <w:pPr>
        <w:spacing w:before="0" w:after="120"/>
      </w:pPr>
    </w:p>
    <w:p>
      <w:pPr>
        <w:shd w:fill="F5F5F5" w:color="auto" w:val="clear"/>
        <w:spacing w:before="200" w:after="40"/>
      </w:pPr>
      <w:r>
        <w:rPr>
          <w:rFonts w:ascii="Calibri" w:hAnsi="Calibri"/>
          <w:b/>
          <w:color w:val="58585A"/>
          <w:sz w:val="22"/>
        </w:rPr>
        <w:t xml:space="preserve">  Primary Stall Point Analysis</w:t>
      </w:r>
    </w:p>
    <w:p>
      <w:pPr>
        <w:spacing w:before="0" w:after="100"/>
      </w:pPr>
      <w:r>
        <w:rPr>
          <w:rFonts w:ascii="Calibri" w:hAnsi="Calibri"/>
          <w:b w:val="0"/>
          <w:i w:val="0"/>
          <w:color w:val="333333"/>
          <w:sz w:val="21"/>
        </w:rPr>
        <w:t xml:space="preserve">The primary stall for High-Stakes Henry is a </w:t>
      </w:r>
      <w:r>
        <w:rPr>
          <w:rFonts w:ascii="Calibri" w:hAnsi="Calibri"/>
          <w:b/>
          <w:i w:val="0"/>
          <w:color w:val="333333"/>
          <w:sz w:val="21"/>
        </w:rPr>
        <w:t>dual stall at B1/E1</w:t>
      </w:r>
      <w:r>
        <w:rPr>
          <w:rFonts w:ascii="Calibri" w:hAnsi="Calibri"/>
          <w:b w:val="0"/>
          <w:i w:val="0"/>
          <w:color w:val="333333"/>
          <w:sz w:val="21"/>
        </w:rPr>
        <w:t xml:space="preserve"> — he is intellectually operating on the Enemy Belief that attorney selection is a commodity decision, and emotionally he has normalized his anxiety to the point where it is not producing urgency. Both tracks must be activated simultaneously.</w:t>
      </w:r>
    </w:p>
    <w:p>
      <w:pPr>
        <w:spacing w:before="0" w:after="100"/>
      </w:pPr>
      <w:r>
        <w:rPr>
          <w:rFonts w:ascii="Calibri" w:hAnsi="Calibri"/>
          <w:b w:val="0"/>
          <w:i w:val="0"/>
          <w:color w:val="333333"/>
          <w:sz w:val="21"/>
        </w:rPr>
        <w:t>The content that does this work most efficiently is the pattern-interrupt that names his situation specifically: the business owner who doesn't yet know that his attorney doesn't understand what a contested business valuation actually looks like. That content surfaces the Enemy Belief and creates the Contrast moment at the same time, jumpstarting both tracks from a single content piece.</w:t>
      </w:r>
    </w:p>
    <w:p>
      <w:pPr>
        <w:spacing w:before="0" w:after="100"/>
      </w:pPr>
      <w:r>
        <w:rPr>
          <w:rFonts w:ascii="Calibri" w:hAnsi="Calibri"/>
          <w:b w:val="0"/>
          <w:i w:val="0"/>
          <w:color w:val="333333"/>
          <w:sz w:val="21"/>
        </w:rPr>
        <w:t xml:space="preserve">The secondary stall for the subset of Henrys who have already tried and failed with one attorney is at </w:t>
      </w:r>
      <w:r>
        <w:rPr>
          <w:rFonts w:ascii="Calibri" w:hAnsi="Calibri"/>
          <w:b/>
          <w:i w:val="0"/>
          <w:color w:val="333333"/>
          <w:sz w:val="21"/>
        </w:rPr>
        <w:t>B4/E4</w:t>
      </w:r>
      <w:r>
        <w:rPr>
          <w:rFonts w:ascii="Calibri" w:hAnsi="Calibri"/>
          <w:b w:val="0"/>
          <w:i w:val="0"/>
          <w:color w:val="333333"/>
          <w:sz w:val="21"/>
        </w:rPr>
        <w:t xml:space="preserve"> — they have some belief in the value of better counsel (B3 achieved) but have not yet connected the failure of their last attorney to the specific credential gap Thomas fills. Case study content bridges this stall.</w:t>
      </w:r>
    </w:p>
    <w:p>
      <w:pPr>
        <w:shd w:fill="F5F5F5" w:color="auto" w:val="clear"/>
        <w:spacing w:before="200" w:after="40"/>
      </w:pPr>
      <w:r>
        <w:rPr>
          <w:rFonts w:ascii="Calibri" w:hAnsi="Calibri"/>
          <w:b/>
          <w:color w:val="58585A"/>
          <w:sz w:val="22"/>
        </w:rPr>
        <w:t xml:space="preserve">  Convergence Statement</w:t>
      </w:r>
    </w:p>
    <w:p>
      <w:pPr>
        <w:spacing w:before="0" w:after="100"/>
      </w:pPr>
      <w:r>
        <w:rPr>
          <w:rFonts w:ascii="Calibri" w:hAnsi="Calibri"/>
          <w:b w:val="0"/>
          <w:i w:val="0"/>
          <w:color w:val="333333"/>
          <w:sz w:val="21"/>
        </w:rPr>
        <w:t>High-Stakes Henry reaches the buying decision when he is intellectually certain that Thomas Banks is the attorney most equipped — by credential, by financial expertise, and by 17 years of exclusive practice — to protect what he has built, AT THE SAME MOMENT that he feels the relief of no longer having to wonder whether he has the right person in his corner. Thomas achieves this convergence by leading with the forensic accounting angle and the AAML credential as a concrete, specific capability that explains his business valuation expertise, then backing it with a case narrative that makes the credential real, and closing with a consultation framing that removes the final emotional friction — this is a diagnostic, not a commitment.</w:t>
      </w:r>
    </w:p>
    <w:p>
      <w:pPr>
        <w:spacing w:before="160" w:after="80"/>
      </w:pPr>
      <w:r>
        <w:rPr>
          <w:rFonts w:ascii="Calibri" w:hAnsi="Calibri"/>
          <w:i/>
          <w:color w:val="888888"/>
          <w:sz w:val="18"/>
        </w:rPr>
        <w:t>— Dr. Raymond Cross, Board | Vivienne Carr, CMO,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05</w:t>
            </w:r>
          </w:p>
        </w:tc>
        <w:tc>
          <w:tcPr>
            <w:tcW w:type="dxa" w:w="4680"/>
            <w:shd w:fill="1A4A2C" w:color="auto" w:val="clear"/>
          </w:tcPr>
          <w:p>
            <w:pPr>
              <w:spacing w:before="120" w:after="120"/>
            </w:pPr>
            <w:r>
              <w:rPr>
                <w:rFonts w:ascii="Calibri" w:hAnsi="Calibri"/>
                <w:b/>
                <w:color w:val="FFFFFF"/>
                <w:sz w:val="22"/>
              </w:rPr>
              <w:t>Section 5: 1-Year Strategic Plan</w:t>
            </w:r>
          </w:p>
        </w:tc>
      </w:tr>
    </w:tbl>
    <w:p>
      <w:pPr>
        <w:spacing w:before="0" w:after="120"/>
      </w:pPr>
    </w:p>
    <w:p>
      <w:pPr>
        <w:spacing w:before="40" w:after="80"/>
      </w:pPr>
      <w:r>
        <w:rPr>
          <w:rFonts w:ascii="Calibri" w:hAnsi="Calibri"/>
          <w:i/>
          <w:color w:val="58585A"/>
          <w:sz w:val="19"/>
        </w:rPr>
        <w:t>Prepared by Daniel Frost, Chief Strategy Officer</w:t>
      </w:r>
    </w:p>
    <w:p>
      <w:pPr>
        <w:spacing w:before="160" w:after="40"/>
      </w:pPr>
      <w:r>
        <w:rPr>
          <w:rFonts w:ascii="Calibri" w:hAnsi="Calibri"/>
          <w:b/>
          <w:color w:val="1A2533"/>
          <w:sz w:val="21"/>
        </w:rPr>
        <w:t>Organizing Principle</w:t>
      </w:r>
    </w:p>
    <w:p>
      <w:pPr>
        <w:spacing w:before="0" w:after="100"/>
      </w:pPr>
      <w:r>
        <w:rPr>
          <w:rFonts w:ascii="Calibri" w:hAnsi="Calibri"/>
          <w:b w:val="0"/>
          <w:i w:val="0"/>
          <w:color w:val="333333"/>
          <w:sz w:val="21"/>
        </w:rPr>
        <w:t>This plan builds in a deliberate sequence: authority foundation first, then content engine, then amplification, then leverage. Each quarter assumes the previous quarter's deliverables are in place. The quarters are not independent campaigns — they are cumulative layers.</w:t>
      </w:r>
    </w:p>
    <w:p>
      <w:pPr>
        <w:spacing w:before="0" w:after="100"/>
      </w:pPr>
      <w:r>
        <w:rPr>
          <w:rFonts w:ascii="Calibri" w:hAnsi="Calibri"/>
          <w:b w:val="0"/>
          <w:i w:val="0"/>
          <w:color w:val="333333"/>
          <w:sz w:val="21"/>
        </w:rPr>
      </w:r>
      <w:r>
        <w:rPr>
          <w:rFonts w:ascii="Calibri" w:hAnsi="Calibri"/>
          <w:b/>
          <w:i w:val="0"/>
          <w:color w:val="333333"/>
          <w:sz w:val="21"/>
        </w:rPr>
        <w:t>Year 1 Success Definition:</w:t>
      </w:r>
      <w:r>
        <w:rPr>
          <w:rFonts w:ascii="Calibri" w:hAnsi="Calibri"/>
          <w:b w:val="0"/>
          <w:i w:val="0"/>
          <w:color w:val="333333"/>
          <w:sz w:val="21"/>
        </w:rPr>
        <w:t xml:space="preserve"> Thomas's personal digital presence — both sites, Google profile, LinkedIn, and referral network — reflects his AAML credential and forensic accounting expertise with enough authority that a high-asset prospect who researches him concludes, without ambiguity, that he is the most credentialed and qualified family law attorney available to them in the Louisville/Southern Indiana market.</w:t>
      </w:r>
    </w:p>
    <w:p>
      <w:pPr>
        <w:shd w:fill="F5F5F5" w:color="auto" w:val="clear"/>
        <w:spacing w:before="200" w:after="40"/>
      </w:pPr>
      <w:r>
        <w:rPr>
          <w:rFonts w:ascii="Calibri" w:hAnsi="Calibri"/>
          <w:b/>
          <w:color w:val="58585A"/>
          <w:sz w:val="22"/>
        </w:rPr>
        <w:t xml:space="preserve">  Q1 — Foundation (March–May 2026)</w:t>
      </w:r>
    </w:p>
    <w:p>
      <w:pPr>
        <w:spacing w:before="0" w:after="100"/>
      </w:pPr>
      <w:r>
        <w:rPr>
          <w:rFonts w:ascii="Calibri" w:hAnsi="Calibri"/>
          <w:b w:val="0"/>
          <w:i w:val="0"/>
          <w:color w:val="333333"/>
          <w:sz w:val="21"/>
        </w:rPr>
      </w:r>
      <w:r>
        <w:rPr>
          <w:rFonts w:ascii="Calibri" w:hAnsi="Calibri"/>
          <w:b/>
          <w:i w:val="0"/>
          <w:color w:val="333333"/>
          <w:sz w:val="21"/>
        </w:rPr>
        <w:t>Theme:</w:t>
      </w:r>
      <w:r>
        <w:rPr>
          <w:rFonts w:ascii="Calibri" w:hAnsi="Calibri"/>
          <w:b w:val="0"/>
          <w:i w:val="0"/>
          <w:color w:val="333333"/>
          <w:sz w:val="21"/>
        </w:rPr>
        <w:t xml:space="preserve"> Make the credentials visible. Fix what is broken. Launch the Fast Cash campaigns.</w:t>
      </w:r>
    </w:p>
    <w:p>
      <w:pPr>
        <w:spacing w:before="0" w:after="100"/>
      </w:pPr>
      <w:r>
        <w:rPr>
          <w:rFonts w:ascii="Calibri" w:hAnsi="Calibri"/>
          <w:b w:val="0"/>
          <w:i w:val="0"/>
          <w:color w:val="333333"/>
          <w:sz w:val="21"/>
        </w:rPr>
        <w:t>The first quarter is not a content quarter. It is a repair-and-foundation quarter. Thomas's authority cannot be built on top of sites that misrepresent his geography, lack credential signals, and have 404 errors on core pages. The foundation must be solid before the content engine launches.</w:t>
      </w:r>
    </w:p>
    <w:p>
      <w:pPr>
        <w:spacing w:before="160" w:after="40"/>
      </w:pPr>
      <w:r>
        <w:rPr>
          <w:rFonts w:ascii="Calibri" w:hAnsi="Calibri"/>
          <w:b/>
          <w:color w:val="1A2533"/>
          <w:sz w:val="21"/>
        </w:rPr>
        <w:t>Deliverables — ASG Responsibilities:</w:t>
      </w:r>
    </w:p>
    <w:p>
      <w:pPr>
        <w:spacing w:before="40" w:after="80"/>
      </w:pPr>
      <w:r>
        <w:rPr>
          <w:rFonts w:ascii="Calibri" w:hAnsi="Calibri"/>
          <w:i/>
          <w:color w:val="58585A"/>
          <w:sz w:val="19"/>
        </w:rPr>
        <w:t>KentuckianaDivorceLawyer.com (Kentucky site):</w:t>
      </w:r>
    </w:p>
    <w:p>
      <w:pPr>
        <w:pStyle w:val="ListBullet"/>
        <w:spacing w:before="0" w:after="60"/>
        <w:ind w:left="288"/>
      </w:pPr>
      <w:r>
        <w:rPr>
          <w:rFonts w:ascii="Calibri" w:hAnsi="Calibri"/>
          <w:b w:val="0"/>
          <w:i w:val="0"/>
          <w:color w:val="333333"/>
          <w:sz w:val="21"/>
        </w:rPr>
        <w:t>Rewrite the homepage headline and hero section around the AAML Fellowship and forensic accounting capability. The current "Why Choose Thomas?" language is replaced with specific credential and differentiation content.</w:t>
      </w:r>
    </w:p>
    <w:p>
      <w:pPr>
        <w:pStyle w:val="ListBullet"/>
        <w:spacing w:before="0" w:after="60"/>
        <w:ind w:left="288"/>
      </w:pPr>
      <w:r>
        <w:rPr>
          <w:rFonts w:ascii="Calibri" w:hAnsi="Calibri"/>
          <w:b w:val="0"/>
          <w:i w:val="0"/>
          <w:color w:val="333333"/>
          <w:sz w:val="21"/>
        </w:rPr>
        <w:t>Fix the FAQ error: Question 2 incorrectly references Indiana residency. This is corrected to Kentucky.</w:t>
      </w:r>
    </w:p>
    <w:p>
      <w:pPr>
        <w:pStyle w:val="ListBullet"/>
        <w:spacing w:before="0" w:after="60"/>
        <w:ind w:left="288"/>
      </w:pPr>
      <w:r>
        <w:rPr>
          <w:rFonts w:ascii="Calibri" w:hAnsi="Calibri"/>
          <w:b w:val="0"/>
          <w:i w:val="0"/>
          <w:color w:val="333333"/>
          <w:sz w:val="21"/>
        </w:rPr>
        <w:t>Add a credentials block above the fold — AAML Fellow, Super Lawyers 2021–2026, AV Preeminent, 17 years exclusively in family law. Logos and badge graphics where available.</w:t>
      </w:r>
    </w:p>
    <w:p>
      <w:pPr>
        <w:pStyle w:val="ListBullet"/>
        <w:spacing w:before="0" w:after="60"/>
        <w:ind w:left="288"/>
      </w:pPr>
      <w:r>
        <w:rPr>
          <w:rFonts w:ascii="Calibri" w:hAnsi="Calibri"/>
          <w:b w:val="0"/>
          <w:i w:val="0"/>
          <w:color w:val="333333"/>
          <w:sz w:val="21"/>
        </w:rPr>
        <w:t>Write and publish the About page: Thomas's full biography, credential narrative, forensic accounting background story, education, and bar admissions.</w:t>
      </w:r>
    </w:p>
    <w:p>
      <w:pPr>
        <w:pStyle w:val="ListBullet"/>
        <w:spacing w:before="0" w:after="60"/>
        <w:ind w:left="288"/>
      </w:pPr>
      <w:r>
        <w:rPr>
          <w:rFonts w:ascii="Calibri" w:hAnsi="Calibri"/>
          <w:b w:val="0"/>
          <w:i w:val="0"/>
          <w:color w:val="333333"/>
          <w:sz w:val="21"/>
        </w:rPr>
        <w:t>Build five to six dedicated service pages: High-Asset Divorce, Business Valuation in Divorce, Child Custody &amp; Father's Rights, Prenuptial &amp; Postnuptial Agreements, Property Division, Domestic Violence &amp; Child Abuse.</w:t>
      </w:r>
    </w:p>
    <w:p>
      <w:pPr>
        <w:pStyle w:val="ListBullet"/>
        <w:spacing w:before="0" w:after="60"/>
        <w:ind w:left="288"/>
      </w:pPr>
      <w:r>
        <w:rPr>
          <w:rFonts w:ascii="Calibri" w:hAnsi="Calibri"/>
          <w:b w:val="0"/>
          <w:i w:val="0"/>
          <w:color w:val="333333"/>
          <w:sz w:val="21"/>
        </w:rPr>
        <w:t>Implement local SEO foundations: title tags, meta descriptions, H1/H2 structure, schema markup for attorney/local business, geographic targeting.</w:t>
      </w:r>
    </w:p>
    <w:p>
      <w:pPr>
        <w:pStyle w:val="ListBullet"/>
        <w:spacing w:before="0" w:after="60"/>
        <w:ind w:left="288"/>
      </w:pPr>
      <w:r>
        <w:rPr>
          <w:rFonts w:ascii="Calibri" w:hAnsi="Calibri"/>
          <w:b w:val="0"/>
          <w:i w:val="0"/>
          <w:color w:val="333333"/>
          <w:sz w:val="21"/>
        </w:rPr>
        <w:t>Add a social proof section with Google review integration and initial testimonials (pending review generation campaign).</w:t>
      </w:r>
    </w:p>
    <w:p>
      <w:pPr>
        <w:spacing w:before="40" w:after="80"/>
      </w:pPr>
      <w:r>
        <w:rPr>
          <w:rFonts w:ascii="Calibri" w:hAnsi="Calibri"/>
          <w:i/>
          <w:color w:val="58585A"/>
          <w:sz w:val="19"/>
        </w:rPr>
        <w:t>KentuckianaFamilyLawyer.com (Indiana site):</w:t>
      </w:r>
    </w:p>
    <w:p>
      <w:pPr>
        <w:pStyle w:val="ListBullet"/>
        <w:spacing w:before="0" w:after="60"/>
        <w:ind w:left="288"/>
      </w:pPr>
      <w:r>
        <w:rPr>
          <w:rFonts w:ascii="Calibri" w:hAnsi="Calibri"/>
          <w:b w:val="0"/>
          <w:i w:val="0"/>
          <w:color w:val="333333"/>
          <w:sz w:val="21"/>
        </w:rPr>
        <w:t>Build the About page (currently 404 error). Same full biography as Kentucky site, reframed for Indiana context.</w:t>
      </w:r>
    </w:p>
    <w:p>
      <w:pPr>
        <w:pStyle w:val="ListBullet"/>
        <w:spacing w:before="0" w:after="60"/>
        <w:ind w:left="288"/>
      </w:pPr>
      <w:r>
        <w:rPr>
          <w:rFonts w:ascii="Calibri" w:hAnsi="Calibri"/>
          <w:b w:val="0"/>
          <w:i w:val="0"/>
          <w:color w:val="333333"/>
          <w:sz w:val="21"/>
        </w:rPr>
        <w:t>Add credentials block to the homepage header and footer.</w:t>
      </w:r>
    </w:p>
    <w:p>
      <w:pPr>
        <w:pStyle w:val="ListBullet"/>
        <w:spacing w:before="0" w:after="60"/>
        <w:ind w:left="288"/>
      </w:pPr>
      <w:r>
        <w:rPr>
          <w:rFonts w:ascii="Calibri" w:hAnsi="Calibri"/>
          <w:b w:val="0"/>
          <w:i w:val="0"/>
          <w:color w:val="333333"/>
          <w:sz w:val="21"/>
        </w:rPr>
        <w:t>Upgrade the six existing service pages with Belief-to-Buy framework copy — each page maps to a specific belief stage and addresses Indiana-specific context where relevant.</w:t>
      </w:r>
    </w:p>
    <w:p>
      <w:pPr>
        <w:pStyle w:val="ListBullet"/>
        <w:spacing w:before="0" w:after="60"/>
        <w:ind w:left="288"/>
      </w:pPr>
      <w:r>
        <w:rPr>
          <w:rFonts w:ascii="Calibri" w:hAnsi="Calibri"/>
          <w:b w:val="0"/>
          <w:i w:val="0"/>
          <w:color w:val="333333"/>
          <w:sz w:val="21"/>
        </w:rPr>
        <w:t>Implement Indiana-specific SEO: title tags targeting Clark, Floyd, Harrison counties; local schema markup.</w:t>
      </w:r>
    </w:p>
    <w:p>
      <w:pPr>
        <w:pStyle w:val="ListBullet"/>
        <w:spacing w:before="0" w:after="60"/>
        <w:ind w:left="288"/>
      </w:pPr>
      <w:r>
        <w:rPr>
          <w:rFonts w:ascii="Calibri" w:hAnsi="Calibri"/>
          <w:b w:val="0"/>
          <w:i w:val="0"/>
          <w:color w:val="333333"/>
          <w:sz w:val="21"/>
        </w:rPr>
        <w:t>Correct any Kentucky-specific language to reflect Indiana court context.</w:t>
      </w:r>
    </w:p>
    <w:p>
      <w:pPr>
        <w:spacing w:before="40" w:after="80"/>
      </w:pPr>
      <w:r>
        <w:rPr>
          <w:rFonts w:ascii="Calibri" w:hAnsi="Calibri"/>
          <w:i/>
          <w:color w:val="58585A"/>
          <w:sz w:val="19"/>
        </w:rPr>
        <w:t>Google Business Profile:</w:t>
      </w:r>
    </w:p>
    <w:p>
      <w:pPr>
        <w:pStyle w:val="ListBullet"/>
        <w:spacing w:before="0" w:after="60"/>
        <w:ind w:left="288"/>
      </w:pPr>
      <w:r>
        <w:rPr>
          <w:rFonts w:ascii="Calibri" w:hAnsi="Calibri"/>
          <w:b w:val="0"/>
          <w:i w:val="0"/>
          <w:color w:val="333333"/>
          <w:sz w:val="21"/>
        </w:rPr>
        <w:t>Audit Thomas's personal GBP status. If not claimed, claim and fully build it.</w:t>
      </w:r>
    </w:p>
    <w:p>
      <w:pPr>
        <w:pStyle w:val="ListBullet"/>
        <w:spacing w:before="0" w:after="60"/>
        <w:ind w:left="288"/>
      </w:pPr>
      <w:r>
        <w:rPr>
          <w:rFonts w:ascii="Calibri" w:hAnsi="Calibri"/>
          <w:b w:val="0"/>
          <w:i w:val="0"/>
          <w:color w:val="333333"/>
          <w:sz w:val="21"/>
        </w:rPr>
        <w:t>Optimize profile: AAML credential in description, service areas (Louisville + Southern Indiana), photos, practice area tags.</w:t>
      </w:r>
    </w:p>
    <w:p>
      <w:pPr>
        <w:pStyle w:val="ListBullet"/>
        <w:spacing w:before="0" w:after="60"/>
        <w:ind w:left="288"/>
      </w:pPr>
      <w:r>
        <w:rPr>
          <w:rFonts w:ascii="Calibri" w:hAnsi="Calibri"/>
          <w:b w:val="0"/>
          <w:i w:val="0"/>
          <w:color w:val="333333"/>
          <w:sz w:val="21"/>
        </w:rPr>
        <w:t>Launch past-client review generation campaign (see Section 6, Campaign 2).</w:t>
      </w:r>
    </w:p>
    <w:p>
      <w:pPr>
        <w:spacing w:before="40" w:after="80"/>
      </w:pPr>
      <w:r>
        <w:rPr>
          <w:rFonts w:ascii="Calibri" w:hAnsi="Calibri"/>
          <w:i/>
          <w:color w:val="58585A"/>
          <w:sz w:val="19"/>
        </w:rPr>
        <w:t>Fast Cash Campaigns (launch by Day 30):</w:t>
      </w:r>
    </w:p>
    <w:p>
      <w:pPr>
        <w:pStyle w:val="ListBullet"/>
        <w:spacing w:before="0" w:after="60"/>
        <w:ind w:left="288"/>
      </w:pPr>
      <w:r>
        <w:rPr>
          <w:rFonts w:ascii="Calibri" w:hAnsi="Calibri"/>
          <w:b w:val="0"/>
          <w:i w:val="0"/>
          <w:color w:val="333333"/>
          <w:sz w:val="21"/>
        </w:rPr>
        <w:t>CPA/Financial Advisor Referral Outreach — initial target list of 20–30 Louisville-area CPAs and financial advisors identified, outreach sequence initiated (see Section 6, Campaign 1).</w:t>
      </w:r>
    </w:p>
    <w:p>
      <w:pPr>
        <w:pStyle w:val="ListBullet"/>
        <w:spacing w:before="0" w:after="60"/>
        <w:ind w:left="288"/>
      </w:pPr>
      <w:r>
        <w:rPr>
          <w:rFonts w:ascii="Calibri" w:hAnsi="Calibri"/>
          <w:b w:val="0"/>
          <w:i w:val="0"/>
          <w:color w:val="333333"/>
          <w:sz w:val="21"/>
        </w:rPr>
        <w:t>Review Generation Campaign — past-client contact list assembled, email sequence launched (see Section 6, Campaign 2).</w:t>
      </w:r>
    </w:p>
    <w:p>
      <w:pPr>
        <w:pStyle w:val="ListBullet"/>
        <w:spacing w:before="0" w:after="60"/>
        <w:ind w:left="288"/>
      </w:pPr>
      <w:r>
        <w:rPr>
          <w:rFonts w:ascii="Calibri" w:hAnsi="Calibri"/>
          <w:b w:val="0"/>
          <w:i w:val="0"/>
          <w:color w:val="333333"/>
          <w:sz w:val="21"/>
        </w:rPr>
        <w:t>LinkedIn profile optimization — Thomas's personal LinkedIn profile upgraded with AAML credential, forensic accounting positioning, and headline copy aligned with the high-asset avatar.</w:t>
      </w:r>
    </w:p>
    <w:p>
      <w:pPr>
        <w:spacing w:before="160" w:after="40"/>
      </w:pPr>
      <w:r>
        <w:rPr>
          <w:rFonts w:ascii="Calibri" w:hAnsi="Calibri"/>
          <w:b/>
          <w:color w:val="1A2533"/>
          <w:sz w:val="21"/>
        </w:rPr>
        <w:t>Q1 Success Metrics:</w:t>
      </w:r>
    </w:p>
    <w:p>
      <w:pPr>
        <w:pStyle w:val="ListBullet"/>
        <w:spacing w:before="0" w:after="60"/>
        <w:ind w:left="288"/>
      </w:pPr>
      <w:r>
        <w:rPr>
          <w:rFonts w:ascii="Calibri" w:hAnsi="Calibri"/>
          <w:b w:val="0"/>
          <w:i w:val="0"/>
          <w:color w:val="333333"/>
          <w:sz w:val="21"/>
        </w:rPr>
        <w:t>Both sites fully built with credential-forward copy on all pages</w:t>
      </w:r>
    </w:p>
    <w:p>
      <w:pPr>
        <w:pStyle w:val="ListBullet"/>
        <w:spacing w:before="0" w:after="60"/>
        <w:ind w:left="288"/>
      </w:pPr>
      <w:r>
        <w:rPr>
          <w:rFonts w:ascii="Calibri" w:hAnsi="Calibri"/>
          <w:b w:val="0"/>
          <w:i w:val="0"/>
          <w:color w:val="333333"/>
          <w:sz w:val="21"/>
        </w:rPr>
        <w:t>FAQ errors corrected</w:t>
      </w:r>
    </w:p>
    <w:p>
      <w:pPr>
        <w:pStyle w:val="ListBullet"/>
        <w:spacing w:before="0" w:after="60"/>
        <w:ind w:left="288"/>
      </w:pPr>
      <w:r>
        <w:rPr>
          <w:rFonts w:ascii="Calibri" w:hAnsi="Calibri"/>
          <w:b w:val="0"/>
          <w:i w:val="0"/>
          <w:color w:val="333333"/>
          <w:sz w:val="21"/>
        </w:rPr>
        <w:t>Google Business Profile claimed and optimized</w:t>
      </w:r>
    </w:p>
    <w:p>
      <w:pPr>
        <w:pStyle w:val="ListBullet"/>
        <w:spacing w:before="0" w:after="60"/>
        <w:ind w:left="288"/>
      </w:pPr>
      <w:r>
        <w:rPr>
          <w:rFonts w:ascii="Calibri" w:hAnsi="Calibri"/>
          <w:b w:val="0"/>
          <w:i w:val="0"/>
          <w:color w:val="333333"/>
          <w:sz w:val="21"/>
        </w:rPr>
        <w:t>Minimum 10 new Google reviews generated</w:t>
      </w:r>
    </w:p>
    <w:p>
      <w:pPr>
        <w:pStyle w:val="ListBullet"/>
        <w:spacing w:before="0" w:after="60"/>
        <w:ind w:left="288"/>
      </w:pPr>
      <w:r>
        <w:rPr>
          <w:rFonts w:ascii="Calibri" w:hAnsi="Calibri"/>
          <w:b w:val="0"/>
          <w:i w:val="0"/>
          <w:color w:val="333333"/>
          <w:sz w:val="21"/>
        </w:rPr>
        <w:t>First 5 CPA/financial advisor outreach responses received</w:t>
      </w:r>
    </w:p>
    <w:p>
      <w:pPr>
        <w:pStyle w:val="ListBullet"/>
        <w:spacing w:before="0" w:after="60"/>
        <w:ind w:left="288"/>
      </w:pPr>
      <w:r>
        <w:rPr>
          <w:rFonts w:ascii="Calibri" w:hAnsi="Calibri"/>
          <w:b w:val="0"/>
          <w:i w:val="0"/>
          <w:color w:val="333333"/>
          <w:sz w:val="21"/>
        </w:rPr>
        <w:t>Thomas's LinkedIn headline updated to lead with AAML credential</w:t>
      </w:r>
    </w:p>
    <w:p>
      <w:pPr>
        <w:spacing w:before="160" w:after="40"/>
      </w:pPr>
      <w:r>
        <w:rPr>
          <w:rFonts w:ascii="Calibri" w:hAnsi="Calibri"/>
          <w:b/>
          <w:color w:val="1A2533"/>
          <w:sz w:val="21"/>
        </w:rPr>
        <w:t>Deliverables — Thomas's Responsibilities in Q1:</w:t>
      </w:r>
    </w:p>
    <w:p>
      <w:pPr>
        <w:pStyle w:val="ListBullet"/>
        <w:spacing w:before="0" w:after="60"/>
        <w:ind w:left="288"/>
      </w:pPr>
      <w:r>
        <w:rPr>
          <w:rFonts w:ascii="Calibri" w:hAnsi="Calibri"/>
          <w:b w:val="0"/>
          <w:i w:val="0"/>
          <w:color w:val="333333"/>
          <w:sz w:val="21"/>
        </w:rPr>
        <w:t>Provide professional photography (at least three to four photos for website and LinkedIn use)</w:t>
      </w:r>
    </w:p>
    <w:p>
      <w:pPr>
        <w:pStyle w:val="ListBullet"/>
        <w:spacing w:before="0" w:after="60"/>
        <w:ind w:left="288"/>
      </w:pPr>
      <w:r>
        <w:rPr>
          <w:rFonts w:ascii="Calibri" w:hAnsi="Calibri"/>
          <w:b w:val="0"/>
          <w:i w:val="0"/>
          <w:color w:val="333333"/>
          <w:sz w:val="21"/>
        </w:rPr>
        <w:t>Provide past-client contact list for review generation campaign</w:t>
      </w:r>
    </w:p>
    <w:p>
      <w:pPr>
        <w:pStyle w:val="ListBullet"/>
        <w:spacing w:before="0" w:after="60"/>
        <w:ind w:left="288"/>
      </w:pPr>
      <w:r>
        <w:rPr>
          <w:rFonts w:ascii="Calibri" w:hAnsi="Calibri"/>
          <w:b w:val="0"/>
          <w:i w:val="0"/>
          <w:color w:val="333333"/>
          <w:sz w:val="21"/>
        </w:rPr>
        <w:t>Complete the credential verification checklist (AAML Fellowship documentation, Super Lawyers badges, AV Preeminent certificate)</w:t>
      </w:r>
    </w:p>
    <w:p>
      <w:pPr>
        <w:pStyle w:val="ListBullet"/>
        <w:spacing w:before="0" w:after="60"/>
        <w:ind w:left="288"/>
      </w:pPr>
      <w:r>
        <w:rPr>
          <w:rFonts w:ascii="Calibri" w:hAnsi="Calibri"/>
          <w:b w:val="0"/>
          <w:i w:val="0"/>
          <w:color w:val="333333"/>
          <w:sz w:val="21"/>
        </w:rPr>
        <w:t>Review and approve the About page biography draft</w:t>
      </w:r>
    </w:p>
    <w:p>
      <w:pPr>
        <w:pStyle w:val="ListBullet"/>
        <w:spacing w:before="0" w:after="60"/>
        <w:ind w:left="288"/>
      </w:pPr>
      <w:r>
        <w:rPr>
          <w:rFonts w:ascii="Calibri" w:hAnsi="Calibri"/>
          <w:b w:val="0"/>
          <w:i w:val="0"/>
          <w:color w:val="333333"/>
          <w:sz w:val="21"/>
        </w:rPr>
        <w:t>Participate in a 45-minute onboarding call for the CPA referral messaging alignment</w:t>
      </w:r>
    </w:p>
    <w:p>
      <w:pPr>
        <w:shd w:fill="F5F5F5" w:color="auto" w:val="clear"/>
        <w:spacing w:before="200" w:after="40"/>
      </w:pPr>
      <w:r>
        <w:rPr>
          <w:rFonts w:ascii="Calibri" w:hAnsi="Calibri"/>
          <w:b/>
          <w:color w:val="58585A"/>
          <w:sz w:val="22"/>
        </w:rPr>
        <w:t xml:space="preserve">  Q2 — Content Engine (June–August 2026)</w:t>
      </w:r>
    </w:p>
    <w:p>
      <w:pPr>
        <w:spacing w:before="0" w:after="100"/>
      </w:pPr>
      <w:r>
        <w:rPr>
          <w:rFonts w:ascii="Calibri" w:hAnsi="Calibri"/>
          <w:b w:val="0"/>
          <w:i w:val="0"/>
          <w:color w:val="333333"/>
          <w:sz w:val="21"/>
        </w:rPr>
      </w:r>
      <w:r>
        <w:rPr>
          <w:rFonts w:ascii="Calibri" w:hAnsi="Calibri"/>
          <w:b/>
          <w:i w:val="0"/>
          <w:color w:val="333333"/>
          <w:sz w:val="21"/>
        </w:rPr>
        <w:t>Theme:</w:t>
      </w:r>
      <w:r>
        <w:rPr>
          <w:rFonts w:ascii="Calibri" w:hAnsi="Calibri"/>
          <w:b w:val="0"/>
          <w:i w:val="0"/>
          <w:color w:val="333333"/>
          <w:sz w:val="21"/>
        </w:rPr>
        <w:t xml:space="preserve"> Publish the authority content that captures high-intent search traffic and feeds the referral network.</w:t>
      </w:r>
    </w:p>
    <w:p>
      <w:pPr>
        <w:spacing w:before="0" w:after="100"/>
      </w:pPr>
      <w:r>
        <w:rPr>
          <w:rFonts w:ascii="Calibri" w:hAnsi="Calibri"/>
          <w:b w:val="0"/>
          <w:i w:val="0"/>
          <w:color w:val="333333"/>
          <w:sz w:val="21"/>
        </w:rPr>
        <w:t>With the site foundation complete and the Fast Cash campaigns running, Q2 launches the content engine. The goal is to make Thomas the most published, most specific authority on high-asset divorce and business valuation in divorce in the Louisville market — and to make that content visible to both direct prospects and the CPA/financial advisor referral network.</w:t>
      </w:r>
    </w:p>
    <w:p>
      <w:pPr>
        <w:spacing w:before="160" w:after="40"/>
      </w:pPr>
      <w:r>
        <w:rPr>
          <w:rFonts w:ascii="Calibri" w:hAnsi="Calibri"/>
          <w:b/>
          <w:color w:val="1A2533"/>
          <w:sz w:val="21"/>
        </w:rPr>
        <w:t>Deliverables — ASG Responsibilities:</w:t>
      </w:r>
    </w:p>
    <w:p>
      <w:pPr>
        <w:spacing w:before="40" w:after="80"/>
      </w:pPr>
      <w:r>
        <w:rPr>
          <w:rFonts w:ascii="Calibri" w:hAnsi="Calibri"/>
          <w:i/>
          <w:color w:val="58585A"/>
          <w:sz w:val="19"/>
        </w:rPr>
        <w:t>Blog/Article Content (KentuckianaDivorceLawyer.com):</w:t>
      </w:r>
    </w:p>
    <w:p>
      <w:pPr>
        <w:pStyle w:val="ListBullet"/>
        <w:spacing w:before="0" w:after="60"/>
        <w:ind w:left="288"/>
      </w:pPr>
      <w:r>
        <w:rPr>
          <w:rFonts w:ascii="Calibri" w:hAnsi="Calibri"/>
          <w:b w:val="0"/>
          <w:i w:val="0"/>
          <w:color w:val="333333"/>
          <w:sz w:val="21"/>
        </w:rPr>
        <w:t>Publish six to eight long-form articles targeting the priority keyword set:</w:t>
      </w:r>
    </w:p>
    <w:p>
      <w:pPr>
        <w:pStyle w:val="ListBullet"/>
        <w:spacing w:before="0" w:after="60"/>
        <w:ind w:left="288"/>
      </w:pPr>
      <w:r>
        <w:rPr>
          <w:rFonts w:ascii="Calibri" w:hAnsi="Calibri"/>
          <w:b w:val="0"/>
          <w:i w:val="0"/>
          <w:color w:val="333333"/>
          <w:sz w:val="21"/>
        </w:rPr>
        <w:t>"How Business Valuation Works in a Kentucky Divorce" (primary SEO target: "business valuation divorce attorney Louisville")</w:t>
      </w:r>
    </w:p>
    <w:p>
      <w:pPr>
        <w:pStyle w:val="ListBullet"/>
        <w:spacing w:before="0" w:after="60"/>
        <w:ind w:left="288"/>
      </w:pPr>
      <w:r>
        <w:rPr>
          <w:rFonts w:ascii="Calibri" w:hAnsi="Calibri"/>
          <w:b w:val="0"/>
          <w:i w:val="0"/>
          <w:color w:val="333333"/>
          <w:sz w:val="21"/>
        </w:rPr>
        <w:t>"What Is an AAML Fellow and Why Does It Matter for Your High-Asset Divorce"</w:t>
      </w:r>
    </w:p>
    <w:p>
      <w:pPr>
        <w:pStyle w:val="ListBullet"/>
        <w:spacing w:before="0" w:after="60"/>
        <w:ind w:left="288"/>
      </w:pPr>
      <w:r>
        <w:rPr>
          <w:rFonts w:ascii="Calibri" w:hAnsi="Calibri"/>
          <w:b w:val="0"/>
          <w:i w:val="0"/>
          <w:color w:val="333333"/>
          <w:sz w:val="21"/>
        </w:rPr>
        <w:t>"Finding Hidden Assets in a Kentucky Divorce: What a Forensic Accounting Review Actually Looks Like"</w:t>
      </w:r>
    </w:p>
    <w:p>
      <w:pPr>
        <w:pStyle w:val="ListBullet"/>
        <w:spacing w:before="0" w:after="60"/>
        <w:ind w:left="288"/>
      </w:pPr>
      <w:r>
        <w:rPr>
          <w:rFonts w:ascii="Calibri" w:hAnsi="Calibri"/>
          <w:b w:val="0"/>
          <w:i w:val="0"/>
          <w:color w:val="333333"/>
          <w:sz w:val="21"/>
        </w:rPr>
        <w:t>"Father's Rights in Kentucky: What the Law Actually Says vs. What People Believe"</w:t>
      </w:r>
    </w:p>
    <w:p>
      <w:pPr>
        <w:pStyle w:val="ListBullet"/>
        <w:spacing w:before="0" w:after="60"/>
        <w:ind w:left="288"/>
      </w:pPr>
      <w:r>
        <w:rPr>
          <w:rFonts w:ascii="Calibri" w:hAnsi="Calibri"/>
          <w:b w:val="0"/>
          <w:i w:val="0"/>
          <w:color w:val="333333"/>
          <w:sz w:val="21"/>
        </w:rPr>
        <w:t>"High-Asset Divorce in Louisville: Why Attorney Selection Is the Most Important Decision You'll Make"</w:t>
      </w:r>
    </w:p>
    <w:p>
      <w:pPr>
        <w:pStyle w:val="ListBullet"/>
        <w:spacing w:before="0" w:after="60"/>
        <w:ind w:left="288"/>
      </w:pPr>
      <w:r>
        <w:rPr>
          <w:rFonts w:ascii="Calibri" w:hAnsi="Calibri"/>
          <w:b w:val="0"/>
          <w:i w:val="0"/>
          <w:color w:val="333333"/>
          <w:sz w:val="21"/>
        </w:rPr>
        <w:t>"Prenuptial Agreements in Kentucky: What They Can and Cannot Do"</w:t>
      </w:r>
    </w:p>
    <w:p>
      <w:pPr>
        <w:pStyle w:val="ListBullet"/>
        <w:spacing w:before="0" w:after="60"/>
        <w:ind w:left="288"/>
      </w:pPr>
      <w:r>
        <w:rPr>
          <w:rFonts w:ascii="Calibri" w:hAnsi="Calibri"/>
          <w:b w:val="0"/>
          <w:i w:val="0"/>
          <w:color w:val="333333"/>
          <w:sz w:val="21"/>
        </w:rPr>
        <w:t>"How Contested Child Custody Actually Gets Decided in Kentucky Courts"</w:t>
      </w:r>
    </w:p>
    <w:p>
      <w:pPr>
        <w:pStyle w:val="ListBullet"/>
        <w:spacing w:before="0" w:after="60"/>
        <w:ind w:left="288"/>
      </w:pPr>
      <w:r>
        <w:rPr>
          <w:rFonts w:ascii="Calibri" w:hAnsi="Calibri"/>
          <w:b w:val="0"/>
          <w:i w:val="0"/>
          <w:color w:val="333333"/>
          <w:sz w:val="21"/>
        </w:rPr>
        <w:t>"Divorce When You Own a Business in Kentucky: The Complete Guide"</w:t>
      </w:r>
    </w:p>
    <w:p>
      <w:pPr>
        <w:spacing w:before="40" w:after="80"/>
      </w:pPr>
      <w:r>
        <w:rPr>
          <w:rFonts w:ascii="Calibri" w:hAnsi="Calibri"/>
          <w:i/>
          <w:color w:val="58585A"/>
          <w:sz w:val="19"/>
        </w:rPr>
        <w:t>LinkedIn Content (first 30 days of LinkedIn campaign — see also Section 6, Campaign 3):</w:t>
      </w:r>
    </w:p>
    <w:p>
      <w:pPr>
        <w:pStyle w:val="ListBullet"/>
        <w:spacing w:before="0" w:after="60"/>
        <w:ind w:left="288"/>
      </w:pPr>
      <w:r>
        <w:rPr>
          <w:rFonts w:ascii="Calibri" w:hAnsi="Calibri"/>
          <w:b w:val="0"/>
          <w:i w:val="0"/>
          <w:color w:val="333333"/>
          <w:sz w:val="21"/>
        </w:rPr>
        <w:t>Publish two to three posts per week on Thomas's personal LinkedIn profile.</w:t>
      </w:r>
    </w:p>
    <w:p>
      <w:pPr>
        <w:pStyle w:val="ListBullet"/>
        <w:spacing w:before="0" w:after="60"/>
        <w:ind w:left="288"/>
      </w:pPr>
      <w:r>
        <w:rPr>
          <w:rFonts w:ascii="Calibri" w:hAnsi="Calibri"/>
          <w:b w:val="0"/>
          <w:i w:val="0"/>
          <w:color w:val="333333"/>
          <w:sz w:val="21"/>
        </w:rPr>
        <w:t>Content themes: forensic accounting insights from practice, AAML credential education, myth-busting on business valuation in divorce, father's rights, how CPAs should think about referring high-asset divorce clients.</w:t>
      </w:r>
    </w:p>
    <w:p>
      <w:pPr>
        <w:pStyle w:val="ListBullet"/>
        <w:spacing w:before="0" w:after="60"/>
        <w:ind w:left="288"/>
      </w:pPr>
      <w:r>
        <w:rPr>
          <w:rFonts w:ascii="Calibri" w:hAnsi="Calibri"/>
          <w:b w:val="0"/>
          <w:i w:val="0"/>
          <w:color w:val="333333"/>
          <w:sz w:val="21"/>
        </w:rPr>
        <w:t>Each post maps to a specific Belief-to-Buy stage pair (see Section 4).</w:t>
      </w:r>
    </w:p>
    <w:p>
      <w:pPr>
        <w:spacing w:before="40" w:after="80"/>
      </w:pPr>
      <w:r>
        <w:rPr>
          <w:rFonts w:ascii="Calibri" w:hAnsi="Calibri"/>
          <w:i/>
          <w:color w:val="58585A"/>
          <w:sz w:val="19"/>
        </w:rPr>
        <w:t>Email Nurture Sequence:</w:t>
      </w:r>
    </w:p>
    <w:p>
      <w:pPr>
        <w:pStyle w:val="ListBullet"/>
        <w:spacing w:before="0" w:after="60"/>
        <w:ind w:left="288"/>
      </w:pPr>
      <w:r>
        <w:rPr>
          <w:rFonts w:ascii="Calibri" w:hAnsi="Calibri"/>
          <w:b w:val="0"/>
          <w:i w:val="0"/>
          <w:color w:val="333333"/>
          <w:sz w:val="21"/>
        </w:rPr>
        <w:t>New Lead Nurture Sequence (5 emails) live and connected to website contact forms (see Section 10).</w:t>
      </w:r>
    </w:p>
    <w:p>
      <w:pPr>
        <w:pStyle w:val="ListBullet"/>
        <w:spacing w:before="0" w:after="60"/>
        <w:ind w:left="288"/>
      </w:pPr>
      <w:r>
        <w:rPr>
          <w:rFonts w:ascii="Calibri" w:hAnsi="Calibri"/>
          <w:b w:val="0"/>
          <w:i w:val="0"/>
          <w:color w:val="333333"/>
          <w:sz w:val="21"/>
        </w:rPr>
        <w:t>CPA/Financial Advisor Nurture Sequence (3 emails) deployed to referral outreach list (see Section 10).</w:t>
      </w:r>
    </w:p>
    <w:p>
      <w:pPr>
        <w:spacing w:before="40" w:after="80"/>
      </w:pPr>
      <w:r>
        <w:rPr>
          <w:rFonts w:ascii="Calibri" w:hAnsi="Calibri"/>
          <w:i/>
          <w:color w:val="58585A"/>
          <w:sz w:val="19"/>
        </w:rPr>
        <w:t>Google Business Profile — ongoing:</w:t>
      </w:r>
    </w:p>
    <w:p>
      <w:pPr>
        <w:pStyle w:val="ListBullet"/>
        <w:spacing w:before="0" w:after="60"/>
        <w:ind w:left="288"/>
      </w:pPr>
      <w:r>
        <w:rPr>
          <w:rFonts w:ascii="Calibri" w:hAnsi="Calibri"/>
          <w:b w:val="0"/>
          <w:i w:val="0"/>
          <w:color w:val="333333"/>
          <w:sz w:val="21"/>
        </w:rPr>
        <w:t>Weekly GBP posts through Q2.</w:t>
      </w:r>
    </w:p>
    <w:p>
      <w:pPr>
        <w:pStyle w:val="ListBullet"/>
        <w:spacing w:before="0" w:after="60"/>
        <w:ind w:left="288"/>
      </w:pPr>
      <w:r>
        <w:rPr>
          <w:rFonts w:ascii="Calibri" w:hAnsi="Calibri"/>
          <w:b w:val="0"/>
          <w:i w:val="0"/>
          <w:color w:val="333333"/>
          <w:sz w:val="21"/>
        </w:rPr>
        <w:t>Target: 25 Google reviews by end of Q2.</w:t>
      </w:r>
    </w:p>
    <w:p>
      <w:pPr>
        <w:spacing w:before="160" w:after="40"/>
      </w:pPr>
      <w:r>
        <w:rPr>
          <w:rFonts w:ascii="Calibri" w:hAnsi="Calibri"/>
          <w:b/>
          <w:color w:val="1A2533"/>
          <w:sz w:val="21"/>
        </w:rPr>
        <w:t>Q2 Success Metrics:</w:t>
      </w:r>
    </w:p>
    <w:p>
      <w:pPr>
        <w:pStyle w:val="ListBullet"/>
        <w:spacing w:before="0" w:after="60"/>
        <w:ind w:left="288"/>
      </w:pPr>
      <w:r>
        <w:rPr>
          <w:rFonts w:ascii="Calibri" w:hAnsi="Calibri"/>
          <w:b w:val="0"/>
          <w:i w:val="0"/>
          <w:color w:val="333333"/>
          <w:sz w:val="21"/>
        </w:rPr>
        <w:t>6–8 blog articles published and indexed</w:t>
      </w:r>
    </w:p>
    <w:p>
      <w:pPr>
        <w:pStyle w:val="ListBullet"/>
        <w:spacing w:before="0" w:after="60"/>
        <w:ind w:left="288"/>
      </w:pPr>
      <w:r>
        <w:rPr>
          <w:rFonts w:ascii="Calibri" w:hAnsi="Calibri"/>
          <w:b w:val="0"/>
          <w:i w:val="0"/>
          <w:color w:val="333333"/>
          <w:sz w:val="21"/>
        </w:rPr>
        <w:t>2–3 LinkedIn posts per week consistent cadence established</w:t>
      </w:r>
    </w:p>
    <w:p>
      <w:pPr>
        <w:pStyle w:val="ListBullet"/>
        <w:spacing w:before="0" w:after="60"/>
        <w:ind w:left="288"/>
      </w:pPr>
      <w:r>
        <w:rPr>
          <w:rFonts w:ascii="Calibri" w:hAnsi="Calibri"/>
          <w:b w:val="0"/>
          <w:i w:val="0"/>
          <w:color w:val="333333"/>
          <w:sz w:val="21"/>
        </w:rPr>
        <w:t>25+ Google reviews on Thomas's personal GBP</w:t>
      </w:r>
    </w:p>
    <w:p>
      <w:pPr>
        <w:pStyle w:val="ListBullet"/>
        <w:spacing w:before="0" w:after="60"/>
        <w:ind w:left="288"/>
      </w:pPr>
      <w:r>
        <w:rPr>
          <w:rFonts w:ascii="Calibri" w:hAnsi="Calibri"/>
          <w:b w:val="0"/>
          <w:i w:val="0"/>
          <w:color w:val="333333"/>
          <w:sz w:val="21"/>
        </w:rPr>
        <w:t>3–5 CPA/financial advisor referral relationships confirmed (agreed to refer)</w:t>
      </w:r>
    </w:p>
    <w:p>
      <w:pPr>
        <w:pStyle w:val="ListBullet"/>
        <w:spacing w:before="0" w:after="60"/>
        <w:ind w:left="288"/>
      </w:pPr>
      <w:r>
        <w:rPr>
          <w:rFonts w:ascii="Calibri" w:hAnsi="Calibri"/>
          <w:b w:val="0"/>
          <w:i w:val="0"/>
          <w:color w:val="333333"/>
          <w:sz w:val="21"/>
        </w:rPr>
        <w:t>Organic search visibility improvement: KentuckianaDivorceLawyer.com appearing in top 10 for at least 3 target keywords</w:t>
      </w:r>
    </w:p>
    <w:p>
      <w:pPr>
        <w:pStyle w:val="ListBullet"/>
        <w:spacing w:before="0" w:after="60"/>
        <w:ind w:left="288"/>
      </w:pPr>
      <w:r>
        <w:rPr>
          <w:rFonts w:ascii="Calibri" w:hAnsi="Calibri"/>
          <w:b w:val="0"/>
          <w:i w:val="0"/>
          <w:color w:val="333333"/>
          <w:sz w:val="21"/>
        </w:rPr>
        <w:t>10–15 new inbound leads per month from combined digital presence</w:t>
      </w:r>
    </w:p>
    <w:p>
      <w:pPr>
        <w:shd w:fill="F5F5F5" w:color="auto" w:val="clear"/>
        <w:spacing w:before="200" w:after="40"/>
      </w:pPr>
      <w:r>
        <w:rPr>
          <w:rFonts w:ascii="Calibri" w:hAnsi="Calibri"/>
          <w:b/>
          <w:color w:val="58585A"/>
          <w:sz w:val="22"/>
        </w:rPr>
        <w:t xml:space="preserve">  Q3 — Authority Amplification (September–November 2026)</w:t>
      </w:r>
    </w:p>
    <w:p>
      <w:pPr>
        <w:spacing w:before="0" w:after="100"/>
      </w:pPr>
      <w:r>
        <w:rPr>
          <w:rFonts w:ascii="Calibri" w:hAnsi="Calibri"/>
          <w:b w:val="0"/>
          <w:i w:val="0"/>
          <w:color w:val="333333"/>
          <w:sz w:val="21"/>
        </w:rPr>
      </w:r>
      <w:r>
        <w:rPr>
          <w:rFonts w:ascii="Calibri" w:hAnsi="Calibri"/>
          <w:b/>
          <w:i w:val="0"/>
          <w:color w:val="333333"/>
          <w:sz w:val="21"/>
        </w:rPr>
        <w:t>Theme:</w:t>
      </w:r>
      <w:r>
        <w:rPr>
          <w:rFonts w:ascii="Calibri" w:hAnsi="Calibri"/>
          <w:b w:val="0"/>
          <w:i w:val="0"/>
          <w:color w:val="333333"/>
          <w:sz w:val="21"/>
        </w:rPr>
        <w:t xml:space="preserve"> Video content, LinkedIn authority growth, and Southern Indiana expansion.</w:t>
      </w:r>
    </w:p>
    <w:p>
      <w:pPr>
        <w:spacing w:before="0" w:after="100"/>
      </w:pPr>
      <w:r>
        <w:rPr>
          <w:rFonts w:ascii="Calibri" w:hAnsi="Calibri"/>
          <w:b w:val="0"/>
          <w:i w:val="0"/>
          <w:color w:val="333333"/>
          <w:sz w:val="21"/>
        </w:rPr>
        <w:t>Q3 converts the written authority content into video and expands Thomas's LinkedIn presence to the point where he is recognizable to Louisville CPAs, financial advisors, and business-owning professionals as the authority on high-asset divorce.</w:t>
      </w:r>
    </w:p>
    <w:p>
      <w:pPr>
        <w:spacing w:before="160" w:after="40"/>
      </w:pPr>
      <w:r>
        <w:rPr>
          <w:rFonts w:ascii="Calibri" w:hAnsi="Calibri"/>
          <w:b/>
          <w:color w:val="1A2533"/>
          <w:sz w:val="21"/>
        </w:rPr>
        <w:t>Deliverables — ASG Responsibilities:</w:t>
      </w:r>
    </w:p>
    <w:p>
      <w:pPr>
        <w:spacing w:before="40" w:after="80"/>
      </w:pPr>
      <w:r>
        <w:rPr>
          <w:rFonts w:ascii="Calibri" w:hAnsi="Calibri"/>
          <w:i/>
          <w:color w:val="58585A"/>
          <w:sz w:val="19"/>
        </w:rPr>
        <w:t>YouTube / Video Content:</w:t>
      </w:r>
    </w:p>
    <w:p>
      <w:pPr>
        <w:pStyle w:val="ListBullet"/>
        <w:spacing w:before="0" w:after="60"/>
        <w:ind w:left="288"/>
      </w:pPr>
      <w:r>
        <w:rPr>
          <w:rFonts w:ascii="Calibri" w:hAnsi="Calibri"/>
          <w:b w:val="0"/>
          <w:i w:val="0"/>
          <w:color w:val="333333"/>
          <w:sz w:val="21"/>
        </w:rPr>
        <w:t>Produce 4–6 short-to-medium video scripts for Thomas to record:</w:t>
      </w:r>
    </w:p>
    <w:p>
      <w:pPr>
        <w:pStyle w:val="ListBullet"/>
        <w:spacing w:before="0" w:after="60"/>
        <w:ind w:left="288"/>
      </w:pPr>
      <w:r>
        <w:rPr>
          <w:rFonts w:ascii="Calibri" w:hAnsi="Calibri"/>
          <w:b w:val="0"/>
          <w:i w:val="0"/>
          <w:color w:val="333333"/>
          <w:sz w:val="21"/>
        </w:rPr>
        <w:t>"The AAML Fellowship: What It Is and Why Fewer Than 1,600 Attorneys in the World Hold It"</w:t>
      </w:r>
    </w:p>
    <w:p>
      <w:pPr>
        <w:pStyle w:val="ListBullet"/>
        <w:spacing w:before="0" w:after="60"/>
        <w:ind w:left="288"/>
      </w:pPr>
      <w:r>
        <w:rPr>
          <w:rFonts w:ascii="Calibri" w:hAnsi="Calibri"/>
          <w:b w:val="0"/>
          <w:i w:val="0"/>
          <w:color w:val="333333"/>
          <w:sz w:val="21"/>
        </w:rPr>
        <w:t>"What Actually Happens to Your Business in a Kentucky Divorce"</w:t>
      </w:r>
    </w:p>
    <w:p>
      <w:pPr>
        <w:pStyle w:val="ListBullet"/>
        <w:spacing w:before="0" w:after="60"/>
        <w:ind w:left="288"/>
      </w:pPr>
      <w:r>
        <w:rPr>
          <w:rFonts w:ascii="Calibri" w:hAnsi="Calibri"/>
          <w:b w:val="0"/>
          <w:i w:val="0"/>
          <w:color w:val="333333"/>
          <w:sz w:val="21"/>
        </w:rPr>
        <w:t>"How Forensic Accounting Changes the Outcome of a High-Asset Divorce"</w:t>
      </w:r>
    </w:p>
    <w:p>
      <w:pPr>
        <w:pStyle w:val="ListBullet"/>
        <w:spacing w:before="0" w:after="60"/>
        <w:ind w:left="288"/>
      </w:pPr>
      <w:r>
        <w:rPr>
          <w:rFonts w:ascii="Calibri" w:hAnsi="Calibri"/>
          <w:b w:val="0"/>
          <w:i w:val="0"/>
          <w:color w:val="333333"/>
          <w:sz w:val="21"/>
        </w:rPr>
        <w:t>"Father's Rights: What Every Louisville Dad Needs to Know Before the Custody Battle Starts"</w:t>
      </w:r>
    </w:p>
    <w:p>
      <w:pPr>
        <w:pStyle w:val="ListBullet"/>
        <w:spacing w:before="0" w:after="60"/>
        <w:ind w:left="288"/>
      </w:pPr>
      <w:r>
        <w:rPr>
          <w:rFonts w:ascii="Calibri" w:hAnsi="Calibri"/>
          <w:b w:val="0"/>
          <w:i w:val="0"/>
          <w:color w:val="333333"/>
          <w:sz w:val="21"/>
        </w:rPr>
        <w:t>"Why I Graduated Number One in Pre-Law Before Going to Law School: How My Accounting Background Changed My Practice"</w:t>
      </w:r>
    </w:p>
    <w:p>
      <w:pPr>
        <w:pStyle w:val="ListBullet"/>
        <w:spacing w:before="0" w:after="60"/>
        <w:ind w:left="288"/>
      </w:pPr>
      <w:r>
        <w:rPr>
          <w:rFonts w:ascii="Calibri" w:hAnsi="Calibri"/>
          <w:b w:val="0"/>
          <w:i w:val="0"/>
          <w:color w:val="333333"/>
          <w:sz w:val="21"/>
        </w:rPr>
        <w:t>Videos published on YouTube with optimized titles, descriptions, and tags targeting Louisville/Kentucky search intent.</w:t>
      </w:r>
    </w:p>
    <w:p>
      <w:pPr>
        <w:pStyle w:val="ListBullet"/>
        <w:spacing w:before="0" w:after="60"/>
        <w:ind w:left="288"/>
      </w:pPr>
      <w:r>
        <w:rPr>
          <w:rFonts w:ascii="Calibri" w:hAnsi="Calibri"/>
          <w:b w:val="0"/>
          <w:i w:val="0"/>
          <w:color w:val="333333"/>
          <w:sz w:val="21"/>
        </w:rPr>
        <w:t>Videos embedded on relevant service pages on both sites.</w:t>
      </w:r>
    </w:p>
    <w:p>
      <w:pPr>
        <w:spacing w:before="40" w:after="80"/>
      </w:pPr>
      <w:r>
        <w:rPr>
          <w:rFonts w:ascii="Calibri" w:hAnsi="Calibri"/>
          <w:i/>
          <w:color w:val="58585A"/>
          <w:sz w:val="19"/>
        </w:rPr>
        <w:t>LinkedIn Expansion:</w:t>
      </w:r>
    </w:p>
    <w:p>
      <w:pPr>
        <w:pStyle w:val="ListBullet"/>
        <w:spacing w:before="0" w:after="60"/>
        <w:ind w:left="288"/>
      </w:pPr>
      <w:r>
        <w:rPr>
          <w:rFonts w:ascii="Calibri" w:hAnsi="Calibri"/>
          <w:b w:val="0"/>
          <w:i w:val="0"/>
          <w:color w:val="333333"/>
          <w:sz w:val="21"/>
        </w:rPr>
        <w:t>Thomas's LinkedIn follower count target: 500+ by end of Q3.</w:t>
      </w:r>
    </w:p>
    <w:p>
      <w:pPr>
        <w:pStyle w:val="ListBullet"/>
        <w:spacing w:before="0" w:after="60"/>
        <w:ind w:left="288"/>
      </w:pPr>
      <w:r>
        <w:rPr>
          <w:rFonts w:ascii="Calibri" w:hAnsi="Calibri"/>
          <w:b w:val="0"/>
          <w:i w:val="0"/>
          <w:color w:val="333333"/>
          <w:sz w:val="21"/>
        </w:rPr>
        <w:t>Monthly LinkedIn article (long-form, 800–1,200 words) published under Thomas's byline.</w:t>
      </w:r>
    </w:p>
    <w:p>
      <w:pPr>
        <w:pStyle w:val="ListBullet"/>
        <w:spacing w:before="0" w:after="60"/>
        <w:ind w:left="288"/>
      </w:pPr>
      <w:r>
        <w:rPr>
          <w:rFonts w:ascii="Calibri" w:hAnsi="Calibri"/>
          <w:b w:val="0"/>
          <w:i w:val="0"/>
          <w:color w:val="333333"/>
          <w:sz w:val="21"/>
        </w:rPr>
        <w:t>Active engagement strategy: commenting on posts from target CPAs and financial advisors, joining and participating in Louisville professional and business owner LinkedIn groups.</w:t>
      </w:r>
    </w:p>
    <w:p>
      <w:pPr>
        <w:spacing w:before="40" w:after="80"/>
      </w:pPr>
      <w:r>
        <w:rPr>
          <w:rFonts w:ascii="Calibri" w:hAnsi="Calibri"/>
          <w:i/>
          <w:color w:val="58585A"/>
          <w:sz w:val="19"/>
        </w:rPr>
        <w:t>Southern Indiana Push (KentuckianaFamilyLawyer.com):</w:t>
      </w:r>
    </w:p>
    <w:p>
      <w:pPr>
        <w:pStyle w:val="ListBullet"/>
        <w:spacing w:before="0" w:after="60"/>
        <w:ind w:left="288"/>
      </w:pPr>
      <w:r>
        <w:rPr>
          <w:rFonts w:ascii="Calibri" w:hAnsi="Calibri"/>
          <w:b w:val="0"/>
          <w:i w:val="0"/>
          <w:color w:val="333333"/>
          <w:sz w:val="21"/>
        </w:rPr>
        <w:t>3–4 Indiana-specific blog articles published:</w:t>
      </w:r>
    </w:p>
    <w:p>
      <w:pPr>
        <w:pStyle w:val="ListBullet"/>
        <w:spacing w:before="0" w:after="60"/>
        <w:ind w:left="288"/>
      </w:pPr>
      <w:r>
        <w:rPr>
          <w:rFonts w:ascii="Calibri" w:hAnsi="Calibri"/>
          <w:b w:val="0"/>
          <w:i w:val="0"/>
          <w:color w:val="333333"/>
          <w:sz w:val="21"/>
        </w:rPr>
        <w:t>"Divorce Attorney in Jeffersonville, Indiana: Why Dual KY/IN Licensure Matters for Your Case"</w:t>
      </w:r>
    </w:p>
    <w:p>
      <w:pPr>
        <w:pStyle w:val="ListBullet"/>
        <w:spacing w:before="0" w:after="60"/>
        <w:ind w:left="288"/>
      </w:pPr>
      <w:r>
        <w:rPr>
          <w:rFonts w:ascii="Calibri" w:hAnsi="Calibri"/>
          <w:b w:val="0"/>
          <w:i w:val="0"/>
          <w:color w:val="333333"/>
          <w:sz w:val="21"/>
        </w:rPr>
        <w:t>"Child Custody in Indiana: How Southern Indiana Courts Handle Contested Cases"</w:t>
      </w:r>
    </w:p>
    <w:p>
      <w:pPr>
        <w:pStyle w:val="ListBullet"/>
        <w:spacing w:before="0" w:after="60"/>
        <w:ind w:left="288"/>
      </w:pPr>
      <w:r>
        <w:rPr>
          <w:rFonts w:ascii="Calibri" w:hAnsi="Calibri"/>
          <w:b w:val="0"/>
          <w:i w:val="0"/>
          <w:color w:val="333333"/>
          <w:sz w:val="21"/>
        </w:rPr>
        <w:t>"High-Asset Divorce in Clark County: Finding an Attorney Licensed in Both Kentucky and Indiana"</w:t>
      </w:r>
    </w:p>
    <w:p>
      <w:pPr>
        <w:pStyle w:val="ListBullet"/>
        <w:spacing w:before="0" w:after="60"/>
        <w:ind w:left="288"/>
      </w:pPr>
      <w:r>
        <w:rPr>
          <w:rFonts w:ascii="Calibri" w:hAnsi="Calibri"/>
          <w:b w:val="0"/>
          <w:i w:val="0"/>
          <w:color w:val="333333"/>
          <w:sz w:val="21"/>
        </w:rPr>
        <w:t>Google Business Profile for KentuckianaFamilyLawyer.com claimed and optimized with Southern Indiana local citations.</w:t>
      </w:r>
    </w:p>
    <w:p>
      <w:pPr>
        <w:spacing w:before="160" w:after="40"/>
      </w:pPr>
      <w:r>
        <w:rPr>
          <w:rFonts w:ascii="Calibri" w:hAnsi="Calibri"/>
          <w:b/>
          <w:color w:val="1A2533"/>
          <w:sz w:val="21"/>
        </w:rPr>
        <w:t>Q3 Success Metrics:</w:t>
      </w:r>
    </w:p>
    <w:p>
      <w:pPr>
        <w:pStyle w:val="ListBullet"/>
        <w:spacing w:before="0" w:after="60"/>
        <w:ind w:left="288"/>
      </w:pPr>
      <w:r>
        <w:rPr>
          <w:rFonts w:ascii="Calibri" w:hAnsi="Calibri"/>
          <w:b w:val="0"/>
          <w:i w:val="0"/>
          <w:color w:val="333333"/>
          <w:sz w:val="21"/>
        </w:rPr>
        <w:t>4–6 videos recorded and published</w:t>
      </w:r>
    </w:p>
    <w:p>
      <w:pPr>
        <w:pStyle w:val="ListBullet"/>
        <w:spacing w:before="0" w:after="60"/>
        <w:ind w:left="288"/>
      </w:pPr>
      <w:r>
        <w:rPr>
          <w:rFonts w:ascii="Calibri" w:hAnsi="Calibri"/>
          <w:b w:val="0"/>
          <w:i w:val="0"/>
          <w:color w:val="333333"/>
          <w:sz w:val="21"/>
        </w:rPr>
        <w:t>LinkedIn followers 500+, with consistent engagement from Louisville professional community</w:t>
      </w:r>
    </w:p>
    <w:p>
      <w:pPr>
        <w:pStyle w:val="ListBullet"/>
        <w:spacing w:before="0" w:after="60"/>
        <w:ind w:left="288"/>
      </w:pPr>
      <w:r>
        <w:rPr>
          <w:rFonts w:ascii="Calibri" w:hAnsi="Calibri"/>
          <w:b w:val="0"/>
          <w:i w:val="0"/>
          <w:color w:val="333333"/>
          <w:sz w:val="21"/>
        </w:rPr>
        <w:t>KentuckianaFamilyLawyer.com appearing in local search results for Jeffersonville/New Albany/Clarksville</w:t>
      </w:r>
    </w:p>
    <w:p>
      <w:pPr>
        <w:pStyle w:val="ListBullet"/>
        <w:spacing w:before="0" w:after="60"/>
        <w:ind w:left="288"/>
      </w:pPr>
      <w:r>
        <w:rPr>
          <w:rFonts w:ascii="Calibri" w:hAnsi="Calibri"/>
          <w:b w:val="0"/>
          <w:i w:val="0"/>
          <w:color w:val="333333"/>
          <w:sz w:val="21"/>
        </w:rPr>
        <w:t>15–20 inbound leads per month from combined channels</w:t>
      </w:r>
    </w:p>
    <w:p>
      <w:pPr>
        <w:pStyle w:val="ListBullet"/>
        <w:spacing w:before="0" w:after="60"/>
        <w:ind w:left="288"/>
      </w:pPr>
      <w:r>
        <w:rPr>
          <w:rFonts w:ascii="Calibri" w:hAnsi="Calibri"/>
          <w:b w:val="0"/>
          <w:i w:val="0"/>
          <w:color w:val="333333"/>
          <w:sz w:val="21"/>
        </w:rPr>
        <w:t>At least 8–10 active referral relationships with CPAs/financial advisors</w:t>
      </w:r>
    </w:p>
    <w:p>
      <w:pPr>
        <w:shd w:fill="F5F5F5" w:color="auto" w:val="clear"/>
        <w:spacing w:before="200" w:after="40"/>
      </w:pPr>
      <w:r>
        <w:rPr>
          <w:rFonts w:ascii="Calibri" w:hAnsi="Calibri"/>
          <w:b/>
          <w:color w:val="58585A"/>
          <w:sz w:val="22"/>
        </w:rPr>
        <w:t xml:space="preserve">  Q4 — Leverage and Firm Expansion (December 2026)</w:t>
      </w:r>
    </w:p>
    <w:p>
      <w:pPr>
        <w:spacing w:before="0" w:after="100"/>
      </w:pPr>
      <w:r>
        <w:rPr>
          <w:rFonts w:ascii="Calibri" w:hAnsi="Calibri"/>
          <w:b w:val="0"/>
          <w:i w:val="0"/>
          <w:color w:val="333333"/>
          <w:sz w:val="21"/>
        </w:rPr>
      </w:r>
      <w:r>
        <w:rPr>
          <w:rFonts w:ascii="Calibri" w:hAnsi="Calibri"/>
          <w:b/>
          <w:i w:val="0"/>
          <w:color w:val="333333"/>
          <w:sz w:val="21"/>
        </w:rPr>
        <w:t>Theme:</w:t>
      </w:r>
      <w:r>
        <w:rPr>
          <w:rFonts w:ascii="Calibri" w:hAnsi="Calibri"/>
          <w:b w:val="0"/>
          <w:i w:val="0"/>
          <w:color w:val="333333"/>
          <w:sz w:val="21"/>
        </w:rPr>
        <w:t xml:space="preserve"> KPI review, system optimization, and the firm referral opportunity.</w:t>
      </w:r>
    </w:p>
    <w:p>
      <w:pPr>
        <w:spacing w:before="0" w:after="100"/>
      </w:pPr>
      <w:r>
        <w:rPr>
          <w:rFonts w:ascii="Calibri" w:hAnsi="Calibri"/>
          <w:b w:val="0"/>
          <w:i w:val="0"/>
          <w:color w:val="333333"/>
          <w:sz w:val="21"/>
        </w:rPr>
        <w:t>Q4 is a data quarter and a leverage quarter. We analyze what worked, optimize what didn't, and begin positioning Thomas's results as the benchmark for what other attorneys at Straw-Boone Doheny Banks Mudd Catalano &amp; McKinney can achieve.</w:t>
      </w:r>
    </w:p>
    <w:p>
      <w:pPr>
        <w:spacing w:before="160" w:after="40"/>
      </w:pPr>
      <w:r>
        <w:rPr>
          <w:rFonts w:ascii="Calibri" w:hAnsi="Calibri"/>
          <w:b/>
          <w:color w:val="1A2533"/>
          <w:sz w:val="21"/>
        </w:rPr>
        <w:t>Deliverables — ASG Responsibilities:</w:t>
      </w:r>
    </w:p>
    <w:p>
      <w:pPr>
        <w:spacing w:before="40" w:after="80"/>
      </w:pPr>
      <w:r>
        <w:rPr>
          <w:rFonts w:ascii="Calibri" w:hAnsi="Calibri"/>
          <w:i/>
          <w:color w:val="58585A"/>
          <w:sz w:val="19"/>
        </w:rPr>
        <w:t>KPI Review and Year 2 Plan:</w:t>
      </w:r>
    </w:p>
    <w:p>
      <w:pPr>
        <w:pStyle w:val="ListBullet"/>
        <w:spacing w:before="0" w:after="60"/>
        <w:ind w:left="288"/>
      </w:pPr>
      <w:r>
        <w:rPr>
          <w:rFonts w:ascii="Calibri" w:hAnsi="Calibri"/>
          <w:b w:val="0"/>
          <w:i w:val="0"/>
          <w:color w:val="333333"/>
          <w:sz w:val="21"/>
        </w:rPr>
        <w:t>Full audit of all four digital channels: organic search, GBP, LinkedIn, referral network.</w:t>
      </w:r>
    </w:p>
    <w:p>
      <w:pPr>
        <w:pStyle w:val="ListBullet"/>
        <w:spacing w:before="0" w:after="60"/>
        <w:ind w:left="288"/>
      </w:pPr>
      <w:r>
        <w:rPr>
          <w:rFonts w:ascii="Calibri" w:hAnsi="Calibri"/>
          <w:b w:val="0"/>
          <w:i w:val="0"/>
          <w:color w:val="333333"/>
          <w:sz w:val="21"/>
        </w:rPr>
        <w:t>Year 1 performance report: leads generated, conversion rate, revenue attributed to ASG engagement.</w:t>
      </w:r>
    </w:p>
    <w:p>
      <w:pPr>
        <w:pStyle w:val="ListBullet"/>
        <w:spacing w:before="0" w:after="60"/>
        <w:ind w:left="288"/>
      </w:pPr>
      <w:r>
        <w:rPr>
          <w:rFonts w:ascii="Calibri" w:hAnsi="Calibri"/>
          <w:b w:val="0"/>
          <w:i w:val="0"/>
          <w:color w:val="333333"/>
          <w:sz w:val="21"/>
        </w:rPr>
        <w:t>Year 2 Blueprint: next-layer recommendations (paid search on high-intent keywords, expanded video content, speaking engagement outreach, bar publication authority content).</w:t>
      </w:r>
    </w:p>
    <w:p>
      <w:pPr>
        <w:spacing w:before="40" w:after="80"/>
      </w:pPr>
      <w:r>
        <w:rPr>
          <w:rFonts w:ascii="Calibri" w:hAnsi="Calibri"/>
          <w:i/>
          <w:color w:val="58585A"/>
          <w:sz w:val="19"/>
        </w:rPr>
        <w:t>Firm Referral Strategy:</w:t>
      </w:r>
    </w:p>
    <w:p>
      <w:pPr>
        <w:pStyle w:val="ListBullet"/>
        <w:spacing w:before="0" w:after="60"/>
        <w:ind w:left="288"/>
      </w:pPr>
      <w:r>
        <w:rPr>
          <w:rFonts w:ascii="Calibri" w:hAnsi="Calibri"/>
          <w:b w:val="0"/>
          <w:i w:val="0"/>
          <w:color w:val="333333"/>
          <w:sz w:val="21"/>
        </w:rPr>
        <w:t>Thomas's personal sites now visibly outperform the firm site's individual attorney pages.</w:t>
      </w:r>
    </w:p>
    <w:p>
      <w:pPr>
        <w:pStyle w:val="ListBullet"/>
        <w:spacing w:before="0" w:after="60"/>
        <w:ind w:left="288"/>
      </w:pPr>
      <w:r>
        <w:rPr>
          <w:rFonts w:ascii="Calibri" w:hAnsi="Calibri"/>
          <w:b w:val="0"/>
          <w:i w:val="0"/>
          <w:color w:val="333333"/>
          <w:sz w:val="21"/>
        </w:rPr>
        <w:t>Prepare a brief case study of Thomas's Year 1 results suitable for sharing with firm partners.</w:t>
      </w:r>
    </w:p>
    <w:p>
      <w:pPr>
        <w:pStyle w:val="ListBullet"/>
        <w:spacing w:before="0" w:after="60"/>
        <w:ind w:left="288"/>
      </w:pPr>
      <w:r>
        <w:rPr>
          <w:rFonts w:ascii="Calibri" w:hAnsi="Calibri"/>
          <w:b w:val="0"/>
          <w:i w:val="0"/>
          <w:color w:val="333333"/>
          <w:sz w:val="21"/>
        </w:rPr>
        <w:t>Roger personally reaches out to one or two additional attorneys at the firm for introductory conversations.</w:t>
      </w:r>
    </w:p>
    <w:p>
      <w:pPr>
        <w:pStyle w:val="ListBullet"/>
        <w:spacing w:before="0" w:after="60"/>
        <w:ind w:left="288"/>
      </w:pPr>
      <w:r>
        <w:rPr>
          <w:rFonts w:ascii="Calibri" w:hAnsi="Calibri"/>
          <w:b w:val="0"/>
          <w:i w:val="0"/>
          <w:color w:val="333333"/>
          <w:sz w:val="21"/>
        </w:rPr>
        <w:t>Thomas's engagement becomes the proof of concept for an ASG firm-wide engagement (the strategic opportunity noted at onboarding).</w:t>
      </w:r>
    </w:p>
    <w:p>
      <w:pPr>
        <w:spacing w:before="160" w:after="40"/>
      </w:pPr>
      <w:r>
        <w:rPr>
          <w:rFonts w:ascii="Calibri" w:hAnsi="Calibri"/>
          <w:b/>
          <w:color w:val="1A2533"/>
          <w:sz w:val="21"/>
        </w:rPr>
        <w:t>Q4 Success Metrics:</w:t>
      </w:r>
    </w:p>
    <w:p>
      <w:pPr>
        <w:pStyle w:val="ListBullet"/>
        <w:spacing w:before="0" w:after="60"/>
        <w:ind w:left="288"/>
      </w:pPr>
      <w:r>
        <w:rPr>
          <w:rFonts w:ascii="Calibri" w:hAnsi="Calibri"/>
          <w:b w:val="0"/>
          <w:i w:val="0"/>
          <w:color w:val="333333"/>
          <w:sz w:val="21"/>
        </w:rPr>
        <w:t>18–22 inbound leads per month from Thomas's personal digital channels</w:t>
      </w:r>
    </w:p>
    <w:p>
      <w:pPr>
        <w:pStyle w:val="ListBullet"/>
        <w:spacing w:before="0" w:after="60"/>
        <w:ind w:left="288"/>
      </w:pPr>
      <w:r>
        <w:rPr>
          <w:rFonts w:ascii="Calibri" w:hAnsi="Calibri"/>
          <w:b w:val="0"/>
          <w:i w:val="0"/>
          <w:color w:val="333333"/>
          <w:sz w:val="21"/>
        </w:rPr>
        <w:t>35+ Google reviews on personal GBP</w:t>
      </w:r>
    </w:p>
    <w:p>
      <w:pPr>
        <w:pStyle w:val="ListBullet"/>
        <w:spacing w:before="0" w:after="60"/>
        <w:ind w:left="288"/>
      </w:pPr>
      <w:r>
        <w:rPr>
          <w:rFonts w:ascii="Calibri" w:hAnsi="Calibri"/>
          <w:b w:val="0"/>
          <w:i w:val="0"/>
          <w:color w:val="333333"/>
          <w:sz w:val="21"/>
        </w:rPr>
        <w:t>LinkedIn presence generating measurable referral activity (at least 2 traceable referrals from LinkedIn in Q4)</w:t>
      </w:r>
    </w:p>
    <w:p>
      <w:pPr>
        <w:pStyle w:val="ListBullet"/>
        <w:spacing w:before="0" w:after="60"/>
        <w:ind w:left="288"/>
      </w:pPr>
      <w:r>
        <w:rPr>
          <w:rFonts w:ascii="Calibri" w:hAnsi="Calibri"/>
          <w:b w:val="0"/>
          <w:i w:val="0"/>
          <w:color w:val="333333"/>
          <w:sz w:val="21"/>
        </w:rPr>
        <w:t>At least one additional attorney at the firm expressing interest in ASG engagement</w:t>
      </w:r>
    </w:p>
    <w:p>
      <w:pPr>
        <w:pStyle w:val="ListBullet"/>
        <w:spacing w:before="0" w:after="60"/>
        <w:ind w:left="288"/>
      </w:pPr>
      <w:r>
        <w:rPr>
          <w:rFonts w:ascii="Calibri" w:hAnsi="Calibri"/>
          <w:b w:val="0"/>
          <w:i w:val="0"/>
          <w:color w:val="333333"/>
          <w:sz w:val="21"/>
        </w:rPr>
        <w:t>Thomas's personal sites ranking on page 1 for at least 5 target keywords</w:t>
      </w:r>
    </w:p>
    <w:p>
      <w:pPr>
        <w:spacing w:before="160" w:after="80"/>
      </w:pPr>
      <w:r>
        <w:rPr>
          <w:rFonts w:ascii="Calibri" w:hAnsi="Calibri"/>
          <w:i/>
          <w:color w:val="888888"/>
          <w:sz w:val="18"/>
        </w:rPr>
        <w:t>— Daniel Frost, CSO,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06</w:t>
            </w:r>
          </w:p>
        </w:tc>
        <w:tc>
          <w:tcPr>
            <w:tcW w:type="dxa" w:w="4680"/>
            <w:shd w:fill="7D2400" w:color="auto" w:val="clear"/>
          </w:tcPr>
          <w:p>
            <w:pPr>
              <w:spacing w:before="120" w:after="120"/>
            </w:pPr>
            <w:r>
              <w:rPr>
                <w:rFonts w:ascii="Calibri" w:hAnsi="Calibri"/>
                <w:b/>
                <w:color w:val="FFFFFF"/>
                <w:sz w:val="22"/>
              </w:rPr>
              <w:t>Section 6: Fast Cash Sprint™</w:t>
            </w:r>
          </w:p>
        </w:tc>
      </w:tr>
    </w:tbl>
    <w:p>
      <w:pPr>
        <w:spacing w:before="0" w:after="120"/>
      </w:pPr>
    </w:p>
    <w:p>
      <w:pPr>
        <w:spacing w:before="40" w:after="80"/>
      </w:pPr>
      <w:r>
        <w:rPr>
          <w:rFonts w:ascii="Calibri" w:hAnsi="Calibri"/>
          <w:i/>
          <w:color w:val="58585A"/>
          <w:sz w:val="19"/>
        </w:rPr>
        <w:t>Prepared by Tanya Blackwood, Chief Revenue Officer</w:t>
      </w:r>
    </w:p>
    <w:p>
      <w:pPr>
        <w:spacing w:before="160" w:after="40"/>
      </w:pPr>
      <w:r>
        <w:rPr>
          <w:rFonts w:ascii="Calibri" w:hAnsi="Calibri"/>
          <w:b/>
          <w:color w:val="1A2533"/>
          <w:sz w:val="21"/>
        </w:rPr>
        <w:t>Philosophy</w:t>
      </w:r>
    </w:p>
    <w:p>
      <w:pPr>
        <w:spacing w:before="0" w:after="100"/>
      </w:pPr>
      <w:r>
        <w:rPr>
          <w:rFonts w:ascii="Calibri" w:hAnsi="Calibri"/>
          <w:b w:val="0"/>
          <w:i w:val="0"/>
          <w:color w:val="333333"/>
          <w:sz w:val="21"/>
        </w:rPr>
        <w:t>These three campaigns are designed to produce revenue within the first 45 to 90 days of the engagement. They do not wait for the website rebuild to be complete or for the content engine to generate organic traffic. They activate the assets Thomas already has: 17 years of satisfied clients, an accounting background that financial professionals respect, and a LinkedIn audience that already includes his exact target market.</w:t>
      </w:r>
    </w:p>
    <w:p>
      <w:pPr>
        <w:spacing w:before="0" w:after="100"/>
      </w:pPr>
      <w:r>
        <w:rPr>
          <w:rFonts w:ascii="Calibri" w:hAnsi="Calibri"/>
          <w:b w:val="0"/>
          <w:i w:val="0"/>
          <w:color w:val="333333"/>
          <w:sz w:val="21"/>
        </w:rPr>
        <w:t>Revenue projections are stated in conservative, target, and stretch scenarios. Conservative scenarios assume minimal execution — one to two hours per week from Thomas plus ASG-managed outreach. Target scenarios assume consistent execution. Stretch scenarios assume the referral relationships compound over 12 months.</w:t>
      </w:r>
    </w:p>
    <w:p>
      <w:pPr>
        <w:shd w:fill="F5F5F5" w:color="auto" w:val="clear"/>
        <w:spacing w:before="200" w:after="40"/>
      </w:pPr>
      <w:r>
        <w:rPr>
          <w:rFonts w:ascii="Calibri" w:hAnsi="Calibri"/>
          <w:b/>
          <w:color w:val="58585A"/>
          <w:sz w:val="22"/>
        </w:rPr>
        <w:t xml:space="preserve">  Campaign 1: CPA and Financial Advisor Referral Network Activation</w:t>
      </w:r>
    </w:p>
    <w:p>
      <w:pPr>
        <w:spacing w:before="160" w:after="40"/>
      </w:pPr>
      <w:r>
        <w:rPr>
          <w:rFonts w:ascii="Calibri" w:hAnsi="Calibri"/>
          <w:b/>
          <w:color w:val="1A2533"/>
          <w:sz w:val="21"/>
        </w:rPr>
        <w:t>Revenue Projection:</w:t>
      </w:r>
    </w:p>
    <w:p>
      <w:pPr>
        <w:pStyle w:val="ListBullet"/>
        <w:spacing w:before="0" w:after="60"/>
        <w:ind w:left="288"/>
      </w:pPr>
      <w:r>
        <w:rPr>
          <w:rFonts w:ascii="Calibri" w:hAnsi="Calibri"/>
          <w:b w:val="0"/>
          <w:i w:val="0"/>
          <w:color w:val="333333"/>
          <w:sz w:val="21"/>
        </w:rPr>
        <w:t>Conservative: $24,000 (2 high-asset referrals at $12,000 avg retainer)</w:t>
      </w:r>
    </w:p>
    <w:p>
      <w:pPr>
        <w:pStyle w:val="ListBullet"/>
        <w:spacing w:before="0" w:after="60"/>
        <w:ind w:left="288"/>
      </w:pPr>
      <w:r>
        <w:rPr>
          <w:rFonts w:ascii="Calibri" w:hAnsi="Calibri"/>
          <w:b w:val="0"/>
          <w:i w:val="0"/>
          <w:color w:val="333333"/>
          <w:sz w:val="21"/>
        </w:rPr>
        <w:t>Target: $60,000 (5 referrals at $12,000 avg)</w:t>
      </w:r>
    </w:p>
    <w:p>
      <w:pPr>
        <w:pStyle w:val="ListBullet"/>
        <w:spacing w:before="0" w:after="60"/>
        <w:ind w:left="288"/>
      </w:pPr>
      <w:r>
        <w:rPr>
          <w:rFonts w:ascii="Calibri" w:hAnsi="Calibri"/>
          <w:b w:val="0"/>
          <w:i w:val="0"/>
          <w:color w:val="333333"/>
          <w:sz w:val="21"/>
        </w:rPr>
        <w:t>Stretch: $120,000+ (ongoing referral stream — 8–10 relationships generating 1–2 referrals/quarter)</w:t>
      </w:r>
    </w:p>
    <w:p>
      <w:pPr>
        <w:spacing w:before="0" w:after="100"/>
      </w:pPr>
      <w:r>
        <w:rPr>
          <w:rFonts w:ascii="Calibri" w:hAnsi="Calibri"/>
          <w:b w:val="0"/>
          <w:i w:val="0"/>
          <w:color w:val="333333"/>
          <w:sz w:val="21"/>
        </w:rPr>
      </w:r>
      <w:r>
        <w:rPr>
          <w:rFonts w:ascii="Calibri" w:hAnsi="Calibri"/>
          <w:b/>
          <w:i w:val="0"/>
          <w:color w:val="333333"/>
          <w:sz w:val="21"/>
        </w:rPr>
        <w:t>Timeline:</w:t>
      </w:r>
      <w:r>
        <w:rPr>
          <w:rFonts w:ascii="Calibri" w:hAnsi="Calibri"/>
          <w:b w:val="0"/>
          <w:i w:val="0"/>
          <w:color w:val="333333"/>
          <w:sz w:val="21"/>
        </w:rPr>
        <w:t xml:space="preserve"> Days 1–45 for initial outreach; ongoing relationship management thereafter.</w:t>
      </w:r>
    </w:p>
    <w:p>
      <w:pPr>
        <w:spacing w:before="160" w:after="40"/>
      </w:pPr>
      <w:r>
        <w:rPr>
          <w:rFonts w:ascii="Calibri" w:hAnsi="Calibri"/>
          <w:b/>
          <w:color w:val="1A2533"/>
          <w:sz w:val="21"/>
        </w:rPr>
        <w:t>Target List Criteria</w:t>
      </w:r>
    </w:p>
    <w:p>
      <w:pPr>
        <w:spacing w:before="0" w:after="100"/>
      </w:pPr>
      <w:r>
        <w:rPr>
          <w:rFonts w:ascii="Calibri" w:hAnsi="Calibri"/>
          <w:b w:val="0"/>
          <w:i w:val="0"/>
          <w:color w:val="333333"/>
          <w:sz w:val="21"/>
        </w:rPr>
        <w:t>The right referral partners for this campaign are CPAs and financial advisors who:</w:t>
      </w:r>
    </w:p>
    <w:p>
      <w:pPr>
        <w:pStyle w:val="ListNumber"/>
        <w:spacing w:before="0" w:after="60"/>
        <w:ind w:left="288"/>
      </w:pPr>
      <w:r>
        <w:rPr>
          <w:rFonts w:ascii="Calibri" w:hAnsi="Calibri"/>
          <w:b w:val="0"/>
          <w:i w:val="0"/>
          <w:color w:val="333333"/>
          <w:sz w:val="21"/>
        </w:rPr>
        <w:t>Have individual clients (not institutional) with household incomes above $200,000</w:t>
      </w:r>
    </w:p>
    <w:p>
      <w:pPr>
        <w:pStyle w:val="ListNumber"/>
        <w:spacing w:before="0" w:after="60"/>
        <w:ind w:left="288"/>
      </w:pPr>
      <w:r>
        <w:rPr>
          <w:rFonts w:ascii="Calibri" w:hAnsi="Calibri"/>
          <w:b w:val="0"/>
          <w:i w:val="0"/>
          <w:color w:val="333333"/>
          <w:sz w:val="21"/>
        </w:rPr>
        <w:t>Are based in Louisville or Southern Indiana</w:t>
      </w:r>
    </w:p>
    <w:p>
      <w:pPr>
        <w:pStyle w:val="ListNumber"/>
        <w:spacing w:before="0" w:after="60"/>
        <w:ind w:left="288"/>
      </w:pPr>
      <w:r>
        <w:rPr>
          <w:rFonts w:ascii="Calibri" w:hAnsi="Calibri"/>
          <w:b w:val="0"/>
          <w:i w:val="0"/>
          <w:color w:val="333333"/>
          <w:sz w:val="21"/>
        </w:rPr>
        <w:t>Do not have an existing exclusive referral relationship with a competing family law attorney</w:t>
      </w:r>
    </w:p>
    <w:p>
      <w:pPr>
        <w:pStyle w:val="ListNumber"/>
        <w:spacing w:before="0" w:after="60"/>
        <w:ind w:left="288"/>
      </w:pPr>
      <w:r>
        <w:rPr>
          <w:rFonts w:ascii="Calibri" w:hAnsi="Calibri"/>
          <w:b w:val="0"/>
          <w:i w:val="0"/>
          <w:color w:val="333333"/>
          <w:sz w:val="21"/>
        </w:rPr>
        <w:t>Work with business owners, executives, or high-income professionals as their primary client base</w:t>
      </w:r>
    </w:p>
    <w:p>
      <w:pPr>
        <w:spacing w:before="0" w:after="100"/>
      </w:pPr>
      <w:r>
        <w:rPr>
          <w:rFonts w:ascii="Calibri" w:hAnsi="Calibri"/>
          <w:b w:val="0"/>
          <w:i w:val="0"/>
          <w:color w:val="333333"/>
          <w:sz w:val="21"/>
        </w:rPr>
        <w:t>Priority firm types: independent CPA firms, wealth management practices, estate planning financial advisors, family office advisors, divorce financial analysts (CDFAs). Law firms with estate planning practices are secondary — they often refer family law work and Thomas's AAML credential gives him credibility in that professional context.</w:t>
      </w:r>
    </w:p>
    <w:p>
      <w:pPr>
        <w:spacing w:before="0" w:after="100"/>
      </w:pPr>
      <w:r>
        <w:rPr>
          <w:rFonts w:ascii="Calibri" w:hAnsi="Calibri"/>
          <w:b w:val="0"/>
          <w:i w:val="0"/>
          <w:color w:val="333333"/>
          <w:sz w:val="21"/>
        </w:rPr>
        <w:t>Target list size: 25–35 individuals for initial outreach. ASG will assist in building this list using LinkedIn and local professional association directories (Louisville Bar, LCPA, FPA of Kentucky).</w:t>
      </w:r>
    </w:p>
    <w:p>
      <w:pPr>
        <w:spacing w:before="160" w:after="40"/>
      </w:pPr>
      <w:r>
        <w:rPr>
          <w:rFonts w:ascii="Calibri" w:hAnsi="Calibri"/>
          <w:b/>
          <w:color w:val="1A2533"/>
          <w:sz w:val="21"/>
        </w:rPr>
        <w:t>Outreach Strategy</w:t>
      </w:r>
    </w:p>
    <w:p>
      <w:pPr>
        <w:spacing w:before="0" w:after="100"/>
      </w:pPr>
      <w:r>
        <w:rPr>
          <w:rFonts w:ascii="Calibri" w:hAnsi="Calibri"/>
          <w:b w:val="0"/>
          <w:i w:val="0"/>
          <w:color w:val="333333"/>
          <w:sz w:val="21"/>
        </w:rPr>
        <w:t>This is a LinkedIn-first outreach, not a cold email blast. Thomas personally connects with each target on LinkedIn using a customized connection request message. The message does not ask for a referral. It introduces Thomas's forensic accounting background as the basis for a professional relationship.</w:t>
      </w:r>
    </w:p>
    <w:p>
      <w:pPr>
        <w:spacing w:before="160" w:after="40"/>
      </w:pPr>
      <w:r>
        <w:rPr>
          <w:rFonts w:ascii="Calibri" w:hAnsi="Calibri"/>
          <w:b/>
          <w:color w:val="1A2533"/>
          <w:sz w:val="21"/>
        </w:rPr>
        <w:t>Connection Request Message:</w:t>
      </w:r>
    </w:p>
    <w:p>
      <w:pPr>
        <w:shd w:fill="FDF8EC" w:color="auto" w:val="clear"/>
        <w:spacing w:before="60" w:after="60"/>
        <w:ind w:left="216"/>
      </w:pPr>
      <w:r>
        <w:rPr>
          <w:rFonts w:ascii="Calibri" w:hAnsi="Calibri"/>
          <w:i/>
          <w:color w:val="8B6A0A"/>
          <w:sz w:val="20"/>
        </w:rPr>
        <w:t xml:space="preserve">  "Hi [Name] — Thomas Banks here, family law partner at Straw-Boone Doheny Banks Mudd Catalano &amp; McKinney in Louisville. My background before law was in accounting and database management, which makes me one of the few family law attorneys in the area who can work through a business valuation or forensic accounting report without leaning entirely on an expert witness. I thought it might be useful for us to connect — your clients sometimes face situations where that matters. Happy to grab coffee if you're ever interested."</w:t>
      </w:r>
    </w:p>
    <w:p>
      <w:pPr>
        <w:spacing w:before="0" w:after="100"/>
      </w:pPr>
      <w:r>
        <w:rPr>
          <w:rFonts w:ascii="Calibri" w:hAnsi="Calibri"/>
          <w:b w:val="0"/>
          <w:i w:val="0"/>
          <w:color w:val="333333"/>
          <w:sz w:val="21"/>
        </w:rPr>
        <w:t>The message works because it leads with the professional language CPAs speak, it does not pitch or ask for a referral, and it frames Thomas's accounting background as a peer-level capability rather than a marketing claim.</w:t>
      </w:r>
    </w:p>
    <w:p>
      <w:pPr>
        <w:spacing w:before="160" w:after="40"/>
      </w:pPr>
      <w:r>
        <w:rPr>
          <w:rFonts w:ascii="Calibri" w:hAnsi="Calibri"/>
          <w:b/>
          <w:color w:val="1A2533"/>
          <w:sz w:val="21"/>
        </w:rPr>
        <w:t>Follow-Up Sequence (Post-Connection)</w:t>
      </w:r>
    </w:p>
    <w:p>
      <w:pPr>
        <w:spacing w:before="40" w:after="80"/>
      </w:pPr>
      <w:r>
        <w:rPr>
          <w:rFonts w:ascii="Calibri" w:hAnsi="Calibri"/>
          <w:i/>
          <w:color w:val="58585A"/>
          <w:sz w:val="19"/>
        </w:rPr>
        <w:t>Day 3 after connection accepted — Message 2:</w:t>
      </w:r>
    </w:p>
    <w:p>
      <w:pPr>
        <w:shd w:fill="FDF8EC" w:color="auto" w:val="clear"/>
        <w:spacing w:before="60" w:after="60"/>
        <w:ind w:left="216"/>
      </w:pPr>
      <w:r>
        <w:rPr>
          <w:rFonts w:ascii="Calibri" w:hAnsi="Calibri"/>
          <w:i/>
          <w:color w:val="8B6A0A"/>
          <w:sz w:val="20"/>
        </w:rPr>
        <w:t xml:space="preserve">  "Thanks for connecting, [Name]. If you ever have a client situation where the financial complexity of a divorce is outpacing what the average attorney can handle — particularly anything involving a business, partnership interest, deferred compensation, or non-disclosed assets — I'm the attorney they should talk to. I hold the AAML Fellowship (fewer than 1,600 in the world) and I've been doing this exclusively for 17 years. Happy to be a resource. No referral pressure — I just want the relationship to exist when it's useful."</w:t>
      </w:r>
    </w:p>
    <w:p>
      <w:pPr>
        <w:spacing w:before="40" w:after="80"/>
      </w:pPr>
      <w:r>
        <w:rPr>
          <w:rFonts w:ascii="Calibri" w:hAnsi="Calibri"/>
          <w:i/>
          <w:color w:val="58585A"/>
          <w:sz w:val="19"/>
        </w:rPr>
        <w:t>Day 14 — Message 3 (if no reply to message 2):</w:t>
      </w:r>
    </w:p>
    <w:p>
      <w:pPr>
        <w:shd w:fill="FDF8EC" w:color="auto" w:val="clear"/>
        <w:spacing w:before="60" w:after="60"/>
        <w:ind w:left="216"/>
      </w:pPr>
      <w:r>
        <w:rPr>
          <w:rFonts w:ascii="Calibri" w:hAnsi="Calibri"/>
          <w:i/>
          <w:color w:val="8B6A0A"/>
          <w:sz w:val="20"/>
        </w:rPr>
        <w:t xml:space="preserve">  "Following up briefly — I wanted to share a piece I wrote on how business valuations actually work in a Kentucky divorce. It's written for professionals, not laypersons. Thought it might be useful for framing conversations with clients if the subject ever comes up. Here's the link: [link to blog post]. And if it ever makes sense to grab coffee, I'm easy to find at (502) 379-4963."</w:t>
      </w:r>
    </w:p>
    <w:p>
      <w:pPr>
        <w:spacing w:before="40" w:after="80"/>
      </w:pPr>
      <w:r>
        <w:rPr>
          <w:rFonts w:ascii="Calibri" w:hAnsi="Calibri"/>
          <w:i/>
          <w:color w:val="58585A"/>
          <w:sz w:val="19"/>
        </w:rPr>
        <w:t>If reply at any point — immediate personal phone or in-person meeting.</w:t>
      </w:r>
    </w:p>
    <w:p>
      <w:pPr>
        <w:spacing w:before="160" w:after="40"/>
      </w:pPr>
      <w:r>
        <w:rPr>
          <w:rFonts w:ascii="Calibri" w:hAnsi="Calibri"/>
          <w:b/>
          <w:color w:val="1A2533"/>
          <w:sz w:val="21"/>
        </w:rPr>
        <w:t>The Coffee Meeting</w:t>
      </w:r>
    </w:p>
    <w:p>
      <w:pPr>
        <w:spacing w:before="0" w:after="100"/>
      </w:pPr>
      <w:r>
        <w:rPr>
          <w:rFonts w:ascii="Calibri" w:hAnsi="Calibri"/>
          <w:b w:val="0"/>
          <w:i w:val="0"/>
          <w:color w:val="333333"/>
          <w:sz w:val="21"/>
        </w:rPr>
        <w:t>The goal of the initial outreach is not a referral. It is a 20-minute coffee meeting. In that meeting, Thomas does three things:</w:t>
      </w:r>
    </w:p>
    <w:p>
      <w:pPr>
        <w:pStyle w:val="ListNumber"/>
        <w:spacing w:before="0" w:after="60"/>
        <w:ind w:left="288"/>
      </w:pPr>
      <w:r>
        <w:rPr>
          <w:rFonts w:ascii="Calibri" w:hAnsi="Calibri"/>
          <w:b w:val="0"/>
          <w:i w:val="0"/>
          <w:color w:val="333333"/>
          <w:sz w:val="21"/>
        </w:rPr>
        <w:t>Explains his accounting background in plain language and how it changes what he can do in a high-asset divorce.</w:t>
      </w:r>
    </w:p>
    <w:p>
      <w:pPr>
        <w:pStyle w:val="ListNumber"/>
        <w:spacing w:before="0" w:after="60"/>
        <w:ind w:left="288"/>
      </w:pPr>
      <w:r>
        <w:rPr>
          <w:rFonts w:ascii="Calibri" w:hAnsi="Calibri"/>
          <w:b w:val="0"/>
          <w:i w:val="0"/>
          <w:color w:val="333333"/>
          <w:sz w:val="21"/>
        </w:rPr>
        <w:t>Tells one story (without naming the client) of a business valuation that changed a case outcome.</w:t>
      </w:r>
    </w:p>
    <w:p>
      <w:pPr>
        <w:pStyle w:val="ListNumber"/>
        <w:spacing w:before="0" w:after="60"/>
        <w:ind w:left="288"/>
      </w:pPr>
      <w:r>
        <w:rPr>
          <w:rFonts w:ascii="Calibri" w:hAnsi="Calibri"/>
          <w:b w:val="0"/>
          <w:i w:val="0"/>
          <w:color w:val="333333"/>
          <w:sz w:val="21"/>
        </w:rPr>
        <w:t>Asks a simple question: "What do you typically do when a client mentions they're going through a divorce that's going to involve their business?" This surfaces whether they have a current referral relationship and how warm the opportunity is.</w:t>
      </w:r>
    </w:p>
    <w:p>
      <w:pPr>
        <w:spacing w:before="0" w:after="100"/>
      </w:pPr>
      <w:r>
        <w:rPr>
          <w:rFonts w:ascii="Calibri" w:hAnsi="Calibri"/>
          <w:b w:val="0"/>
          <w:i w:val="0"/>
          <w:color w:val="333333"/>
          <w:sz w:val="21"/>
        </w:rPr>
        <w:t>Thomas does not ask for a referral at the coffee meeting. He makes himself memorable and leaves a credential card. The referral follows naturally when the situation arises.</w:t>
      </w:r>
    </w:p>
    <w:p>
      <w:pPr>
        <w:spacing w:before="160" w:after="40"/>
      </w:pPr>
      <w:r>
        <w:rPr>
          <w:rFonts w:ascii="Calibri" w:hAnsi="Calibri"/>
          <w:b/>
          <w:color w:val="1A2533"/>
          <w:sz w:val="21"/>
        </w:rPr>
        <w:t>Referral Confirmation and Management</w:t>
      </w:r>
    </w:p>
    <w:p>
      <w:pPr>
        <w:spacing w:before="0" w:after="100"/>
      </w:pPr>
      <w:r>
        <w:rPr>
          <w:rFonts w:ascii="Calibri" w:hAnsi="Calibri"/>
          <w:b w:val="0"/>
          <w:i w:val="0"/>
          <w:color w:val="333333"/>
          <w:sz w:val="21"/>
        </w:rPr>
        <w:t>For every CPA or financial advisor who expresses interest in referring:</w:t>
      </w:r>
    </w:p>
    <w:p>
      <w:pPr>
        <w:pStyle w:val="ListBullet"/>
        <w:spacing w:before="0" w:after="60"/>
        <w:ind w:left="288"/>
      </w:pPr>
      <w:r>
        <w:rPr>
          <w:rFonts w:ascii="Calibri" w:hAnsi="Calibri"/>
          <w:b w:val="0"/>
          <w:i w:val="0"/>
          <w:color w:val="333333"/>
          <w:sz w:val="21"/>
        </w:rPr>
        <w:t>Thomas sends a personal follow-up email within 24 hours of the meeting (see Section 10, Referral Source Nurture Sequence).</w:t>
      </w:r>
    </w:p>
    <w:p>
      <w:pPr>
        <w:pStyle w:val="ListBullet"/>
        <w:spacing w:before="0" w:after="60"/>
        <w:ind w:left="288"/>
      </w:pPr>
      <w:r>
        <w:rPr>
          <w:rFonts w:ascii="Calibri" w:hAnsi="Calibri"/>
          <w:b w:val="0"/>
          <w:i w:val="0"/>
          <w:color w:val="333333"/>
          <w:sz w:val="21"/>
        </w:rPr>
        <w:t>Thomas is added to Thomas's referral partner list with quarterly check-in scheduled.</w:t>
      </w:r>
    </w:p>
    <w:p>
      <w:pPr>
        <w:pStyle w:val="ListBullet"/>
        <w:spacing w:before="0" w:after="60"/>
        <w:ind w:left="288"/>
      </w:pPr>
      <w:r>
        <w:rPr>
          <w:rFonts w:ascii="Calibri" w:hAnsi="Calibri"/>
          <w:b w:val="0"/>
          <w:i w:val="0"/>
          <w:color w:val="333333"/>
          <w:sz w:val="21"/>
        </w:rPr>
        <w:t>When a referral is made, Thomas personally thanks the referring professional by phone and provides a status update (within legal ethics constraints) so the professional knows the referral was received and handled well.</w:t>
      </w:r>
    </w:p>
    <w:p>
      <w:pPr>
        <w:shd w:fill="F5F5F5" w:color="auto" w:val="clear"/>
        <w:spacing w:before="200" w:after="40"/>
      </w:pPr>
      <w:r>
        <w:rPr>
          <w:rFonts w:ascii="Calibri" w:hAnsi="Calibri"/>
          <w:b/>
          <w:color w:val="58585A"/>
          <w:sz w:val="22"/>
        </w:rPr>
        <w:t xml:space="preserve">  Campaign 2: Past-Client Google Review Generation</w:t>
      </w:r>
    </w:p>
    <w:p>
      <w:pPr>
        <w:spacing w:before="160" w:after="40"/>
      </w:pPr>
      <w:r>
        <w:rPr>
          <w:rFonts w:ascii="Calibri" w:hAnsi="Calibri"/>
          <w:b/>
          <w:color w:val="1A2533"/>
          <w:sz w:val="21"/>
        </w:rPr>
        <w:t>Revenue Projection:</w:t>
      </w:r>
    </w:p>
    <w:p>
      <w:pPr>
        <w:pStyle w:val="ListBullet"/>
        <w:spacing w:before="0" w:after="60"/>
        <w:ind w:left="288"/>
      </w:pPr>
      <w:r>
        <w:rPr>
          <w:rFonts w:ascii="Calibri" w:hAnsi="Calibri"/>
          <w:b w:val="0"/>
          <w:i w:val="0"/>
          <w:color w:val="333333"/>
          <w:sz w:val="21"/>
        </w:rPr>
        <w:t>Conservative: $12,000 (1 new matter from improved organic visibility and credibility)</w:t>
      </w:r>
    </w:p>
    <w:p>
      <w:pPr>
        <w:pStyle w:val="ListBullet"/>
        <w:spacing w:before="0" w:after="60"/>
        <w:ind w:left="288"/>
      </w:pPr>
      <w:r>
        <w:rPr>
          <w:rFonts w:ascii="Calibri" w:hAnsi="Calibri"/>
          <w:b w:val="0"/>
          <w:i w:val="0"/>
          <w:color w:val="333333"/>
          <w:sz w:val="21"/>
        </w:rPr>
        <w:t>Target: $48,000 (4 new matters from improved GBP ranking and review volume)</w:t>
      </w:r>
    </w:p>
    <w:p>
      <w:pPr>
        <w:pStyle w:val="ListBullet"/>
        <w:spacing w:before="0" w:after="60"/>
        <w:ind w:left="288"/>
      </w:pPr>
      <w:r>
        <w:rPr>
          <w:rFonts w:ascii="Calibri" w:hAnsi="Calibri"/>
          <w:b w:val="0"/>
          <w:i w:val="0"/>
          <w:color w:val="333333"/>
          <w:sz w:val="21"/>
        </w:rPr>
        <w:t>Stretch: $96,000 (8 new matters over 12 months as GBP ranking compounds)</w:t>
      </w:r>
    </w:p>
    <w:p>
      <w:pPr>
        <w:spacing w:before="0" w:after="100"/>
      </w:pPr>
      <w:r>
        <w:rPr>
          <w:rFonts w:ascii="Calibri" w:hAnsi="Calibri"/>
          <w:b w:val="0"/>
          <w:i w:val="0"/>
          <w:color w:val="333333"/>
          <w:sz w:val="21"/>
        </w:rPr>
      </w:r>
      <w:r>
        <w:rPr>
          <w:rFonts w:ascii="Calibri" w:hAnsi="Calibri"/>
          <w:b/>
          <w:i w:val="0"/>
          <w:color w:val="333333"/>
          <w:sz w:val="21"/>
        </w:rPr>
        <w:t>Timeline:</w:t>
      </w:r>
      <w:r>
        <w:rPr>
          <w:rFonts w:ascii="Calibri" w:hAnsi="Calibri"/>
          <w:b w:val="0"/>
          <w:i w:val="0"/>
          <w:color w:val="333333"/>
          <w:sz w:val="21"/>
        </w:rPr>
        <w:t xml:space="preserve"> Days 1–60 for initial review generation; ongoing monthly maintenance thereafter.</w:t>
      </w:r>
    </w:p>
    <w:p>
      <w:pPr>
        <w:spacing w:before="160" w:after="40"/>
      </w:pPr>
      <w:r>
        <w:rPr>
          <w:rFonts w:ascii="Calibri" w:hAnsi="Calibri"/>
          <w:b/>
          <w:color w:val="1A2533"/>
          <w:sz w:val="21"/>
        </w:rPr>
        <w:t>Why This Matters Now</w:t>
      </w:r>
    </w:p>
    <w:p>
      <w:pPr>
        <w:spacing w:before="0" w:after="100"/>
      </w:pPr>
      <w:r>
        <w:rPr>
          <w:rFonts w:ascii="Calibri" w:hAnsi="Calibri"/>
          <w:b w:val="0"/>
          <w:i w:val="0"/>
          <w:color w:val="333333"/>
          <w:sz w:val="21"/>
        </w:rPr>
        <w:t>Thomas's Google review situation is likely below where it should be given 17 years of practice. The firm profile at Straw-Boone has 19 reviews at 4.7 stars — which is not bad, but it reflects the firm, not Thomas specifically. A personal Google Business Profile for Thomas, built separately and tied to KentuckianaDivorceLawyer.com, with 25–40 reviews from individual clients who worked with him personally, is a distinct and powerful search signal. High-asset prospects search attorney names specifically. A profile with 30+ reviews and a 4.8+ average, showing up when someone Googles "Thomas Banks attorney Louisville," closes the sale before the phone rings.</w:t>
      </w:r>
    </w:p>
    <w:p>
      <w:pPr>
        <w:spacing w:before="160" w:after="40"/>
      </w:pPr>
      <w:r>
        <w:rPr>
          <w:rFonts w:ascii="Calibri" w:hAnsi="Calibri"/>
          <w:b/>
          <w:color w:val="1A2533"/>
          <w:sz w:val="21"/>
        </w:rPr>
        <w:t>Step 1: GBP Setup (Week 1)</w:t>
      </w:r>
    </w:p>
    <w:p>
      <w:pPr>
        <w:spacing w:before="0" w:after="100"/>
      </w:pPr>
      <w:r>
        <w:rPr>
          <w:rFonts w:ascii="Calibri" w:hAnsi="Calibri"/>
          <w:b w:val="0"/>
          <w:i w:val="0"/>
          <w:color w:val="333333"/>
          <w:sz w:val="21"/>
        </w:rPr>
        <w:t>ASG audits whether Thomas has a personal GBP. If not, we claim and build it:</w:t>
      </w:r>
    </w:p>
    <w:p>
      <w:pPr>
        <w:pStyle w:val="ListBullet"/>
        <w:spacing w:before="0" w:after="60"/>
        <w:ind w:left="288"/>
      </w:pPr>
      <w:r>
        <w:rPr>
          <w:rFonts w:ascii="Calibri" w:hAnsi="Calibri"/>
          <w:b w:val="0"/>
          <w:i w:val="0"/>
          <w:color w:val="333333"/>
          <w:sz w:val="21"/>
        </w:rPr>
        <w:t>Name: Thomas E. Banks II — Family Law Attorney</w:t>
      </w:r>
    </w:p>
    <w:p>
      <w:pPr>
        <w:pStyle w:val="ListBullet"/>
        <w:spacing w:before="0" w:after="60"/>
        <w:ind w:left="288"/>
      </w:pPr>
      <w:r>
        <w:rPr>
          <w:rFonts w:ascii="Calibri" w:hAnsi="Calibri"/>
          <w:b w:val="0"/>
          <w:i w:val="0"/>
          <w:color w:val="333333"/>
          <w:sz w:val="21"/>
        </w:rPr>
        <w:t>Category: Family Law Attorney</w:t>
      </w:r>
    </w:p>
    <w:p>
      <w:pPr>
        <w:pStyle w:val="ListBullet"/>
        <w:spacing w:before="0" w:after="60"/>
        <w:ind w:left="288"/>
      </w:pPr>
      <w:r>
        <w:rPr>
          <w:rFonts w:ascii="Calibri" w:hAnsi="Calibri"/>
          <w:b w:val="0"/>
          <w:i w:val="0"/>
          <w:color w:val="333333"/>
          <w:sz w:val="21"/>
        </w:rPr>
        <w:t>Description: Leads with AAML Fellow credential, 17 years exclusively in family law, forensic accounting background</w:t>
      </w:r>
    </w:p>
    <w:p>
      <w:pPr>
        <w:pStyle w:val="ListBullet"/>
        <w:spacing w:before="0" w:after="60"/>
        <w:ind w:left="288"/>
      </w:pPr>
      <w:r>
        <w:rPr>
          <w:rFonts w:ascii="Calibri" w:hAnsi="Calibri"/>
          <w:b w:val="0"/>
          <w:i w:val="0"/>
          <w:color w:val="333333"/>
          <w:sz w:val="21"/>
        </w:rPr>
        <w:t>Service areas: Louisville, Jefferson County, Clark County IN, Floyd County IN, Harrison County IN</w:t>
      </w:r>
    </w:p>
    <w:p>
      <w:pPr>
        <w:pStyle w:val="ListBullet"/>
        <w:spacing w:before="0" w:after="60"/>
        <w:ind w:left="288"/>
      </w:pPr>
      <w:r>
        <w:rPr>
          <w:rFonts w:ascii="Calibri" w:hAnsi="Calibri"/>
          <w:b w:val="0"/>
          <w:i w:val="0"/>
          <w:color w:val="333333"/>
          <w:sz w:val="21"/>
        </w:rPr>
        <w:t>Hours, phone, website linked to KentuckianaDivorceLawyer.com</w:t>
      </w:r>
    </w:p>
    <w:p>
      <w:pPr>
        <w:pStyle w:val="ListBullet"/>
        <w:spacing w:before="0" w:after="60"/>
        <w:ind w:left="288"/>
      </w:pPr>
      <w:r>
        <w:rPr>
          <w:rFonts w:ascii="Calibri" w:hAnsi="Calibri"/>
          <w:b w:val="0"/>
          <w:i w:val="0"/>
          <w:color w:val="333333"/>
          <w:sz w:val="21"/>
        </w:rPr>
        <w:t>Photos: professional headshot, office photo, credential badges where permitted</w:t>
      </w:r>
    </w:p>
    <w:p>
      <w:pPr>
        <w:spacing w:before="160" w:after="40"/>
      </w:pPr>
      <w:r>
        <w:rPr>
          <w:rFonts w:ascii="Calibri" w:hAnsi="Calibri"/>
          <w:b/>
          <w:color w:val="1A2533"/>
          <w:sz w:val="21"/>
        </w:rPr>
        <w:t>Step 2: Past-Client Contact List (Week 1–2)</w:t>
      </w:r>
    </w:p>
    <w:p>
      <w:pPr>
        <w:spacing w:before="0" w:after="100"/>
      </w:pPr>
      <w:r>
        <w:rPr>
          <w:rFonts w:ascii="Calibri" w:hAnsi="Calibri"/>
          <w:b w:val="0"/>
          <w:i w:val="0"/>
          <w:color w:val="333333"/>
          <w:sz w:val="21"/>
        </w:rPr>
        <w:t>Thomas provides a list of past clients he is comfortable contacting. This list does not include clients from contentious cases where the relationship ended badly. Target clients: those who had positive outcomes and with whom Thomas has maintained some warmth. Minimum target: 40–60 names. ASG drafts the outreach; Thomas approves and sends under his own name.</w:t>
      </w:r>
    </w:p>
    <w:p>
      <w:pPr>
        <w:spacing w:before="160" w:after="40"/>
      </w:pPr>
      <w:r>
        <w:rPr>
          <w:rFonts w:ascii="Calibri" w:hAnsi="Calibri"/>
          <w:b/>
          <w:color w:val="1A2533"/>
          <w:sz w:val="21"/>
        </w:rPr>
        <w:t>Review Request Email — Subject: "A quick favor — would mean a lot"</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It's been a while, and I hope things are going well for you and your family.</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I'm reaching out because I'm in the process of building a more complete online presence, and Google reviews from former clients are one of the most meaningful things that help someone facing a difficult situation find the right attorney.</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If you found my work valuable during your case, I'd be grateful if you'd take two minutes to leave a review at the link below. Honest words about your experience — whatever you remember — would mean a great deal, both to me and to someone who might be in a similar situation and needs to make a good decision about who represents them.</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[Direct Google Review Link]</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Thank you sincerely for trusting me with something important. It was an honor to help.</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hd w:fill="FDF8EC" w:color="auto" w:val="clear"/>
        <w:spacing w:before="60" w:after="60"/>
        <w:ind w:left="216"/>
      </w:pPr>
      <w:r>
        <w:rPr>
          <w:rFonts w:ascii="Calibri" w:hAnsi="Calibri"/>
          <w:i/>
          <w:color w:val="8B6A0A"/>
          <w:sz w:val="20"/>
        </w:rPr>
        <w:t xml:space="preserve">  (502) 379-4963</w:t>
      </w:r>
    </w:p>
    <w:p>
      <w:pPr>
        <w:spacing w:before="160" w:after="40"/>
      </w:pPr>
      <w:r>
        <w:rPr>
          <w:rFonts w:ascii="Calibri" w:hAnsi="Calibri"/>
          <w:b/>
          <w:color w:val="1A2533"/>
          <w:sz w:val="21"/>
        </w:rPr>
        <w:t>Review Request Text (for clients where text is appropriate):</w:t>
      </w:r>
    </w:p>
    <w:p>
      <w:pPr>
        <w:shd w:fill="FDF8EC" w:color="auto" w:val="clear"/>
        <w:spacing w:before="60" w:after="60"/>
        <w:ind w:left="216"/>
      </w:pPr>
      <w:r>
        <w:rPr>
          <w:rFonts w:ascii="Calibri" w:hAnsi="Calibri"/>
          <w:i/>
          <w:color w:val="8B6A0A"/>
          <w:sz w:val="20"/>
        </w:rPr>
        <w:t xml:space="preserve">  "Hi [Name] — Thomas Banks here. Hope you're well. Quick ask: if you have two minutes, a Google review of my work would help future clients find the right attorney. Here's the direct link: [link]. No pressure at all — just grateful for the thought if you're willing. – Thomas"</w:t>
      </w:r>
    </w:p>
    <w:p>
      <w:pPr>
        <w:spacing w:before="160" w:after="40"/>
      </w:pPr>
      <w:r>
        <w:rPr>
          <w:rFonts w:ascii="Calibri" w:hAnsi="Calibri"/>
          <w:b/>
          <w:color w:val="1A2533"/>
          <w:sz w:val="21"/>
        </w:rPr>
        <w:t>Timing and Follow-Up:</w:t>
      </w:r>
    </w:p>
    <w:p>
      <w:pPr>
        <w:pStyle w:val="ListBullet"/>
        <w:spacing w:before="0" w:after="60"/>
        <w:ind w:left="288"/>
      </w:pPr>
      <w:r>
        <w:rPr>
          <w:rFonts w:ascii="Calibri" w:hAnsi="Calibri"/>
          <w:b w:val="0"/>
          <w:i w:val="0"/>
          <w:color w:val="333333"/>
          <w:sz w:val="21"/>
        </w:rPr>
        <w:t>Initial send: Week 2 of engagement</w:t>
      </w:r>
    </w:p>
    <w:p>
      <w:pPr>
        <w:pStyle w:val="ListBullet"/>
        <w:spacing w:before="0" w:after="60"/>
        <w:ind w:left="288"/>
      </w:pPr>
      <w:r>
        <w:rPr>
          <w:rFonts w:ascii="Calibri" w:hAnsi="Calibri"/>
          <w:b w:val="0"/>
          <w:i w:val="0"/>
          <w:color w:val="333333"/>
          <w:sz w:val="21"/>
        </w:rPr>
        <w:t>One follow-up email (not text) at Day 14 to non-respondents: "Just circling back briefly — no pressure at all. The link is here if you decide to share your experience: [link]."</w:t>
      </w:r>
    </w:p>
    <w:p>
      <w:pPr>
        <w:pStyle w:val="ListBullet"/>
        <w:spacing w:before="0" w:after="60"/>
        <w:ind w:left="288"/>
      </w:pPr>
      <w:r>
        <w:rPr>
          <w:rFonts w:ascii="Calibri" w:hAnsi="Calibri"/>
          <w:b w:val="0"/>
          <w:i w:val="0"/>
          <w:color w:val="333333"/>
          <w:sz w:val="21"/>
        </w:rPr>
        <w:t>No third contact. Two attempts maximum.</w:t>
      </w:r>
    </w:p>
    <w:p>
      <w:pPr>
        <w:spacing w:before="0" w:after="100"/>
      </w:pPr>
      <w:r>
        <w:rPr>
          <w:rFonts w:ascii="Calibri" w:hAnsi="Calibri"/>
          <w:b w:val="0"/>
          <w:i w:val="0"/>
          <w:color w:val="333333"/>
          <w:sz w:val="21"/>
        </w:rPr>
      </w:r>
      <w:r>
        <w:rPr>
          <w:rFonts w:ascii="Calibri" w:hAnsi="Calibri"/>
          <w:b/>
          <w:i w:val="0"/>
          <w:color w:val="333333"/>
          <w:sz w:val="21"/>
        </w:rPr>
        <w:t>Target:</w:t>
      </w:r>
      <w:r>
        <w:rPr>
          <w:rFonts w:ascii="Calibri" w:hAnsi="Calibri"/>
          <w:b w:val="0"/>
          <w:i w:val="0"/>
          <w:color w:val="333333"/>
          <w:sz w:val="21"/>
        </w:rPr>
        <w:t xml:space="preserve"> 25 reviews by Day 60, 35+ by end of Q2.</w:t>
      </w:r>
    </w:p>
    <w:p>
      <w:pPr>
        <w:shd w:fill="F5F5F5" w:color="auto" w:val="clear"/>
        <w:spacing w:before="200" w:after="40"/>
      </w:pPr>
      <w:r>
        <w:rPr>
          <w:rFonts w:ascii="Calibri" w:hAnsi="Calibri"/>
          <w:b/>
          <w:color w:val="58585A"/>
          <w:sz w:val="22"/>
        </w:rPr>
        <w:t xml:space="preserve">  Campaign 3: LinkedIn Authority Sprint — First 30 Days</w:t>
      </w:r>
    </w:p>
    <w:p>
      <w:pPr>
        <w:spacing w:before="160" w:after="40"/>
      </w:pPr>
      <w:r>
        <w:rPr>
          <w:rFonts w:ascii="Calibri" w:hAnsi="Calibri"/>
          <w:b/>
          <w:color w:val="1A2533"/>
          <w:sz w:val="21"/>
        </w:rPr>
        <w:t>Revenue Projection:</w:t>
      </w:r>
    </w:p>
    <w:p>
      <w:pPr>
        <w:pStyle w:val="ListBullet"/>
        <w:spacing w:before="0" w:after="60"/>
        <w:ind w:left="288"/>
      </w:pPr>
      <w:r>
        <w:rPr>
          <w:rFonts w:ascii="Calibri" w:hAnsi="Calibri"/>
          <w:b w:val="0"/>
          <w:i w:val="0"/>
          <w:color w:val="333333"/>
          <w:sz w:val="21"/>
        </w:rPr>
        <w:t>Conservative: $12,000 (1 new matter traceable to LinkedIn engagement)</w:t>
      </w:r>
    </w:p>
    <w:p>
      <w:pPr>
        <w:pStyle w:val="ListBullet"/>
        <w:spacing w:before="0" w:after="60"/>
        <w:ind w:left="288"/>
      </w:pPr>
      <w:r>
        <w:rPr>
          <w:rFonts w:ascii="Calibri" w:hAnsi="Calibri"/>
          <w:b w:val="0"/>
          <w:i w:val="0"/>
          <w:color w:val="333333"/>
          <w:sz w:val="21"/>
        </w:rPr>
        <w:t>Target: $36,000 (3 new matters)</w:t>
      </w:r>
    </w:p>
    <w:p>
      <w:pPr>
        <w:pStyle w:val="ListBullet"/>
        <w:spacing w:before="0" w:after="60"/>
        <w:ind w:left="288"/>
      </w:pPr>
      <w:r>
        <w:rPr>
          <w:rFonts w:ascii="Calibri" w:hAnsi="Calibri"/>
          <w:b w:val="0"/>
          <w:i w:val="0"/>
          <w:color w:val="333333"/>
          <w:sz w:val="21"/>
        </w:rPr>
        <w:t>Stretch: $72,000+ (ongoing referral stream from sustained LinkedIn authority position)</w:t>
      </w:r>
    </w:p>
    <w:p>
      <w:pPr>
        <w:spacing w:before="0" w:after="100"/>
      </w:pPr>
      <w:r>
        <w:rPr>
          <w:rFonts w:ascii="Calibri" w:hAnsi="Calibri"/>
          <w:b w:val="0"/>
          <w:i w:val="0"/>
          <w:color w:val="333333"/>
          <w:sz w:val="21"/>
        </w:rPr>
      </w:r>
      <w:r>
        <w:rPr>
          <w:rFonts w:ascii="Calibri" w:hAnsi="Calibri"/>
          <w:b/>
          <w:i w:val="0"/>
          <w:color w:val="333333"/>
          <w:sz w:val="21"/>
        </w:rPr>
        <w:t>Timeline:</w:t>
      </w:r>
      <w:r>
        <w:rPr>
          <w:rFonts w:ascii="Calibri" w:hAnsi="Calibri"/>
          <w:b w:val="0"/>
          <w:i w:val="0"/>
          <w:color w:val="333333"/>
          <w:sz w:val="21"/>
        </w:rPr>
        <w:t xml:space="preserve"> Days 30–90 for initial sprint; ongoing at 2–3 posts per week thereafter.</w:t>
      </w:r>
    </w:p>
    <w:p>
      <w:pPr>
        <w:spacing w:before="160" w:after="40"/>
      </w:pPr>
      <w:r>
        <w:rPr>
          <w:rFonts w:ascii="Calibri" w:hAnsi="Calibri"/>
          <w:b/>
          <w:color w:val="1A2533"/>
          <w:sz w:val="21"/>
        </w:rPr>
        <w:t>Why LinkedIn</w:t>
      </w:r>
    </w:p>
    <w:p>
      <w:pPr>
        <w:spacing w:before="0" w:after="100"/>
      </w:pPr>
      <w:r>
        <w:rPr>
          <w:rFonts w:ascii="Calibri" w:hAnsi="Calibri"/>
          <w:b w:val="0"/>
          <w:i w:val="0"/>
          <w:color w:val="333333"/>
          <w:sz w:val="21"/>
        </w:rPr>
        <w:t>Thomas's exact clients — the executives, business owners, and high-income professionals who make up High-Stakes Henry — are on LinkedIn. So are the CPAs, financial advisors, and wealth managers who are his target referral partners. LinkedIn is the only social platform where a post about forensic accounting and business valuation in divorce reaches both audiences simultaneously. It is also the platform where credentials like the AAML Fellowship generate the most signal — professionals on LinkedIn understand what a credentialing organization represents in a way that a general consumer audience does not.</w:t>
      </w:r>
    </w:p>
    <w:p>
      <w:pPr>
        <w:spacing w:before="160" w:after="40"/>
      </w:pPr>
      <w:r>
        <w:rPr>
          <w:rFonts w:ascii="Calibri" w:hAnsi="Calibri"/>
          <w:b/>
          <w:color w:val="1A2533"/>
          <w:sz w:val="21"/>
        </w:rPr>
        <w:t>Profile Optimization (Before Content Launches)</w:t>
      </w:r>
    </w:p>
    <w:p>
      <w:pPr>
        <w:spacing w:before="0" w:after="100"/>
      </w:pPr>
      <w:r>
        <w:rPr>
          <w:rFonts w:ascii="Calibri" w:hAnsi="Calibri"/>
          <w:b w:val="0"/>
          <w:i w:val="0"/>
          <w:color w:val="333333"/>
          <w:sz w:val="21"/>
        </w:rPr>
        <w:t>Thomas's LinkedIn headline is rewritten to lead with credentials:</w:t>
      </w:r>
    </w:p>
    <w:p>
      <w:pPr>
        <w:spacing w:before="0" w:after="100"/>
      </w:pPr>
      <w:r>
        <w:rPr>
          <w:rFonts w:ascii="Calibri" w:hAnsi="Calibri"/>
          <w:b w:val="0"/>
          <w:i w:val="0"/>
          <w:color w:val="333333"/>
          <w:sz w:val="21"/>
        </w:rPr>
      </w:r>
      <w:r>
        <w:rPr>
          <w:rFonts w:ascii="Calibri" w:hAnsi="Calibri"/>
          <w:b w:val="0"/>
          <w:i/>
          <w:color w:val="333333"/>
          <w:sz w:val="21"/>
        </w:rPr>
        <w:t>Current:</w:t>
      </w:r>
      <w:r>
        <w:rPr>
          <w:rFonts w:ascii="Calibri" w:hAnsi="Calibri"/>
          <w:b w:val="0"/>
          <w:i w:val="0"/>
          <w:color w:val="333333"/>
          <w:sz w:val="21"/>
        </w:rPr>
        <w:t xml:space="preserve"> [Generic attorney headline]</w:t>
      </w:r>
    </w:p>
    <w:p>
      <w:pPr>
        <w:spacing w:before="0" w:after="100"/>
      </w:pPr>
      <w:r>
        <w:rPr>
          <w:rFonts w:ascii="Calibri" w:hAnsi="Calibri"/>
          <w:b w:val="0"/>
          <w:i w:val="0"/>
          <w:color w:val="333333"/>
          <w:sz w:val="21"/>
        </w:rPr>
      </w:r>
      <w:r>
        <w:rPr>
          <w:rFonts w:ascii="Calibri" w:hAnsi="Calibri"/>
          <w:b w:val="0"/>
          <w:i/>
          <w:color w:val="333333"/>
          <w:sz w:val="21"/>
        </w:rPr>
        <w:t>New:</w:t>
      </w:r>
      <w:r>
        <w:rPr>
          <w:rFonts w:ascii="Calibri" w:hAnsi="Calibri"/>
          <w:b w:val="0"/>
          <w:i w:val="0"/>
          <w:color w:val="333333"/>
          <w:sz w:val="21"/>
        </w:rPr>
        <w:t xml:space="preserve"> "Family Law Attorney | AAML Fellow | Forensic Accounting in High-Asset Divorce | Licensed KY &amp; IN | Straw-Boone Doheny Banks Mudd Catalano &amp; McKinney"</w:t>
      </w:r>
    </w:p>
    <w:p>
      <w:pPr>
        <w:spacing w:before="0" w:after="100"/>
      </w:pPr>
      <w:r>
        <w:rPr>
          <w:rFonts w:ascii="Calibri" w:hAnsi="Calibri"/>
          <w:b w:val="0"/>
          <w:i w:val="0"/>
          <w:color w:val="333333"/>
          <w:sz w:val="21"/>
        </w:rPr>
        <w:t>The About section is rewritten using the Belief-to-Buy framework — starting with the forensic accounting background story (the pattern interrupt for a financial professional), moving through the AAML credential explanation, and ending with a direct invitation for CPAs and financial advisors to connect if they encounter clients in high-asset divorce situations.</w:t>
      </w:r>
    </w:p>
    <w:p>
      <w:pPr>
        <w:spacing w:before="160" w:after="40"/>
      </w:pPr>
      <w:r>
        <w:rPr>
          <w:rFonts w:ascii="Calibri" w:hAnsi="Calibri"/>
          <w:b/>
          <w:color w:val="1A2533"/>
          <w:sz w:val="21"/>
        </w:rPr>
        <w:t>First 30 Days — Content Calendar</w:t>
      </w:r>
    </w:p>
    <w:p>
      <w:pPr>
        <w:spacing w:before="0" w:after="100"/>
      </w:pPr>
      <w:r>
        <w:rPr>
          <w:rFonts w:ascii="Calibri" w:hAnsi="Calibri"/>
          <w:b w:val="0"/>
          <w:i w:val="0"/>
          <w:color w:val="333333"/>
          <w:sz w:val="21"/>
        </w:rPr>
        <w:t>ASG produces the copy for each post. Thomas reviews and approves. Thomas posts under his own name.</w:t>
      </w:r>
    </w:p>
    <w:p>
      <w:pPr>
        <w:spacing w:before="40" w:after="80"/>
      </w:pPr>
      <w:r>
        <w:rPr>
          <w:rFonts w:ascii="Calibri" w:hAnsi="Calibri"/>
          <w:i/>
          <w:color w:val="58585A"/>
          <w:sz w:val="19"/>
        </w:rPr>
        <w:t>Week 1:</w:t>
      </w:r>
    </w:p>
    <w:p>
      <w:pPr>
        <w:pStyle w:val="ListBullet"/>
        <w:spacing w:before="0" w:after="60"/>
        <w:ind w:left="288"/>
      </w:pPr>
      <w:r>
        <w:rPr>
          <w:rFonts w:ascii="Calibri" w:hAnsi="Calibri"/>
          <w:b w:val="0"/>
          <w:i w:val="0"/>
          <w:color w:val="333333"/>
          <w:sz w:val="21"/>
        </w:rPr>
        <w:t>Post 1 (Monday): The story of how Thomas's accounting background at Baptist Hospital East before law school changed the way he approaches contested business valuations. Personal story, specific, not performative. (B2/E2 — Pre-Frame / Contrast)</w:t>
      </w:r>
    </w:p>
    <w:p>
      <w:pPr>
        <w:pStyle w:val="ListBullet"/>
        <w:spacing w:before="0" w:after="60"/>
        <w:ind w:left="288"/>
      </w:pPr>
      <w:r>
        <w:rPr>
          <w:rFonts w:ascii="Calibri" w:hAnsi="Calibri"/>
          <w:b w:val="0"/>
          <w:i w:val="0"/>
          <w:color w:val="333333"/>
          <w:sz w:val="21"/>
        </w:rPr>
        <w:t>Post 2 (Thursday): "What an AAML Fellowship actually is — and why it matters if your divorce involves a business." Educational, specific, no jargon. (B2/E2 → B3/E3)</w:t>
      </w:r>
    </w:p>
    <w:p>
      <w:pPr>
        <w:spacing w:before="40" w:after="80"/>
      </w:pPr>
      <w:r>
        <w:rPr>
          <w:rFonts w:ascii="Calibri" w:hAnsi="Calibri"/>
          <w:i/>
          <w:color w:val="58585A"/>
          <w:sz w:val="19"/>
        </w:rPr>
        <w:t>Week 2:</w:t>
      </w:r>
    </w:p>
    <w:p>
      <w:pPr>
        <w:pStyle w:val="ListBullet"/>
        <w:spacing w:before="0" w:after="60"/>
        <w:ind w:left="288"/>
      </w:pPr>
      <w:r>
        <w:rPr>
          <w:rFonts w:ascii="Calibri" w:hAnsi="Calibri"/>
          <w:b w:val="0"/>
          <w:i w:val="0"/>
          <w:color w:val="333333"/>
          <w:sz w:val="21"/>
        </w:rPr>
        <w:t>Post 3 (Monday): "The three ways a business valuation gets manipulated in a divorce — and how a forensic review catches each one." Highly specific, educational. Credibility play for CPA audience and Henry simultaneously. (B3/E3 — New Worldview / Desire)</w:t>
      </w:r>
    </w:p>
    <w:p>
      <w:pPr>
        <w:pStyle w:val="ListBullet"/>
        <w:spacing w:before="0" w:after="60"/>
        <w:ind w:left="288"/>
      </w:pPr>
      <w:r>
        <w:rPr>
          <w:rFonts w:ascii="Calibri" w:hAnsi="Calibri"/>
          <w:b w:val="0"/>
          <w:i w:val="0"/>
          <w:color w:val="333333"/>
          <w:sz w:val="21"/>
        </w:rPr>
        <w:t>Post 4 (Thursday): Short myth-busting post: "The most expensive thing you can do in a high-asset divorce is hire an attorney who's never read a business valuation." (B1/E1 — Enemy Belief activation)</w:t>
      </w:r>
    </w:p>
    <w:p>
      <w:pPr>
        <w:spacing w:before="40" w:after="80"/>
      </w:pPr>
      <w:r>
        <w:rPr>
          <w:rFonts w:ascii="Calibri" w:hAnsi="Calibri"/>
          <w:i/>
          <w:color w:val="58585A"/>
          <w:sz w:val="19"/>
        </w:rPr>
        <w:t>Week 3:</w:t>
      </w:r>
    </w:p>
    <w:p>
      <w:pPr>
        <w:pStyle w:val="ListBullet"/>
        <w:spacing w:before="0" w:after="60"/>
        <w:ind w:left="288"/>
      </w:pPr>
      <w:r>
        <w:rPr>
          <w:rFonts w:ascii="Calibri" w:hAnsi="Calibri"/>
          <w:b w:val="0"/>
          <w:i w:val="0"/>
          <w:color w:val="333333"/>
          <w:sz w:val="21"/>
        </w:rPr>
        <w:t>Post 5 (Monday): "Super Lawyers 2026 — six consecutive years. What I think that recognition actually represents." Humble but specific, credential anchoring. (B2/E2)</w:t>
      </w:r>
    </w:p>
    <w:p>
      <w:pPr>
        <w:pStyle w:val="ListBullet"/>
        <w:spacing w:before="0" w:after="60"/>
        <w:ind w:left="288"/>
      </w:pPr>
      <w:r>
        <w:rPr>
          <w:rFonts w:ascii="Calibri" w:hAnsi="Calibri"/>
          <w:b w:val="0"/>
          <w:i w:val="0"/>
          <w:color w:val="333333"/>
          <w:sz w:val="21"/>
        </w:rPr>
        <w:t>Post 6 (Thursday): "A question I get from CPAs: 'When should I refer a client to a family law attorney rather than trying to manage the situation themselves?'" Direct to referral partner audience. (B3/E3 — for referral partners)</w:t>
      </w:r>
    </w:p>
    <w:p>
      <w:pPr>
        <w:spacing w:before="40" w:after="80"/>
      </w:pPr>
      <w:r>
        <w:rPr>
          <w:rFonts w:ascii="Calibri" w:hAnsi="Calibri"/>
          <w:i/>
          <w:color w:val="58585A"/>
          <w:sz w:val="19"/>
        </w:rPr>
        <w:t>Week 4:</w:t>
      </w:r>
    </w:p>
    <w:p>
      <w:pPr>
        <w:pStyle w:val="ListBullet"/>
        <w:spacing w:before="0" w:after="60"/>
        <w:ind w:left="288"/>
      </w:pPr>
      <w:r>
        <w:rPr>
          <w:rFonts w:ascii="Calibri" w:hAnsi="Calibri"/>
          <w:b w:val="0"/>
          <w:i w:val="0"/>
          <w:color w:val="333333"/>
          <w:sz w:val="21"/>
        </w:rPr>
        <w:t>Post 7 (Monday): "Father's rights in Kentucky — what the law actually says versus what most people believe." Pattern interrupt for the father who has been told the courts are biased against him. (B1/E1 → B2/E2)</w:t>
      </w:r>
    </w:p>
    <w:p>
      <w:pPr>
        <w:pStyle w:val="ListBullet"/>
        <w:spacing w:before="0" w:after="60"/>
        <w:ind w:left="288"/>
      </w:pPr>
      <w:r>
        <w:rPr>
          <w:rFonts w:ascii="Calibri" w:hAnsi="Calibri"/>
          <w:b w:val="0"/>
          <w:i w:val="0"/>
          <w:color w:val="333333"/>
          <w:sz w:val="21"/>
        </w:rPr>
        <w:t>Post 8 (Thursday): Short CTA post: "If you're a Louisville-area CPA or financial advisor with clients navigating high-asset divorce, I'd like to know you. My background in forensic accounting makes me a different kind of resource than most family law attorneys. DM me or connect." (Direct referral partner activation)</w:t>
      </w:r>
    </w:p>
    <w:p>
      <w:pPr>
        <w:spacing w:before="160" w:after="40"/>
      </w:pPr>
      <w:r>
        <w:rPr>
          <w:rFonts w:ascii="Calibri" w:hAnsi="Calibri"/>
          <w:b/>
          <w:color w:val="1A2533"/>
          <w:sz w:val="21"/>
        </w:rPr>
        <w:t>Distribution:</w:t>
      </w:r>
    </w:p>
    <w:p>
      <w:pPr>
        <w:pStyle w:val="ListBullet"/>
        <w:spacing w:before="0" w:after="60"/>
        <w:ind w:left="288"/>
      </w:pPr>
      <w:r>
        <w:rPr>
          <w:rFonts w:ascii="Calibri" w:hAnsi="Calibri"/>
          <w:b w:val="0"/>
          <w:i w:val="0"/>
          <w:color w:val="333333"/>
          <w:sz w:val="21"/>
        </w:rPr>
        <w:t>Thomas tags relevant Louisville CPA and financial professional associations in applicable posts.</w:t>
      </w:r>
    </w:p>
    <w:p>
      <w:pPr>
        <w:pStyle w:val="ListBullet"/>
        <w:spacing w:before="0" w:after="60"/>
        <w:ind w:left="288"/>
      </w:pPr>
      <w:r>
        <w:rPr>
          <w:rFonts w:ascii="Calibri" w:hAnsi="Calibri"/>
          <w:b w:val="0"/>
          <w:i w:val="0"/>
          <w:color w:val="333333"/>
          <w:sz w:val="21"/>
        </w:rPr>
        <w:t>Thomas personally comments on posts by target CPAs within 24 hours of their publication.</w:t>
      </w:r>
    </w:p>
    <w:p>
      <w:pPr>
        <w:pStyle w:val="ListBullet"/>
        <w:spacing w:before="0" w:after="60"/>
        <w:ind w:left="288"/>
      </w:pPr>
      <w:r>
        <w:rPr>
          <w:rFonts w:ascii="Calibri" w:hAnsi="Calibri"/>
          <w:b w:val="0"/>
          <w:i w:val="0"/>
          <w:color w:val="333333"/>
          <w:sz w:val="21"/>
        </w:rPr>
        <w:t>ASG monitors engagement and adjusts content angles weekly based on what generates the most comments and profile visits.</w:t>
      </w:r>
    </w:p>
    <w:p>
      <w:pPr>
        <w:spacing w:before="160" w:after="80"/>
      </w:pPr>
      <w:r>
        <w:rPr>
          <w:rFonts w:ascii="Calibri" w:hAnsi="Calibri"/>
          <w:i/>
          <w:color w:val="888888"/>
          <w:sz w:val="18"/>
        </w:rPr>
        <w:t>— Tanya Blackwood, CRO,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07</w:t>
            </w:r>
          </w:p>
        </w:tc>
        <w:tc>
          <w:tcPr>
            <w:tcW w:type="dxa" w:w="4680"/>
            <w:shd w:fill="1A2533" w:color="auto" w:val="clear"/>
          </w:tcPr>
          <w:p>
            <w:pPr>
              <w:spacing w:before="120" w:after="120"/>
            </w:pPr>
            <w:r>
              <w:rPr>
                <w:rFonts w:ascii="Calibri" w:hAnsi="Calibri"/>
                <w:b/>
                <w:color w:val="FFFFFF"/>
                <w:sz w:val="22"/>
              </w:rPr>
              <w:t>Section 7: KPI Dashboard</w:t>
            </w:r>
          </w:p>
        </w:tc>
      </w:tr>
    </w:tbl>
    <w:p>
      <w:pPr>
        <w:spacing w:before="0" w:after="120"/>
      </w:pPr>
    </w:p>
    <w:p>
      <w:pPr>
        <w:spacing w:before="40" w:after="80"/>
      </w:pPr>
      <w:r>
        <w:rPr>
          <w:rFonts w:ascii="Calibri" w:hAnsi="Calibri"/>
          <w:i/>
          <w:color w:val="58585A"/>
          <w:sz w:val="19"/>
        </w:rPr>
        <w:t>Prepared by Preston Adler, Chief Operating Officer</w:t>
      </w:r>
    </w:p>
    <w:p>
      <w:pPr>
        <w:spacing w:before="160" w:after="40"/>
      </w:pPr>
      <w:r>
        <w:rPr>
          <w:rFonts w:ascii="Calibri" w:hAnsi="Calibri"/>
          <w:b/>
          <w:color w:val="1A2533"/>
          <w:sz w:val="21"/>
        </w:rPr>
        <w:t>Note on Baselines</w:t>
      </w:r>
    </w:p>
    <w:p>
      <w:pPr>
        <w:spacing w:before="0" w:after="100"/>
      </w:pPr>
      <w:r>
        <w:rPr>
          <w:rFonts w:ascii="Calibri" w:hAnsi="Calibri"/>
          <w:b w:val="0"/>
          <w:i w:val="0"/>
          <w:color w:val="333333"/>
          <w:sz w:val="21"/>
        </w:rPr>
        <w:t>Several baseline metrics below are estimated based on available public information and Thomas's client-context file. All baselines require confirmation at the onboarding call. Metrics marked with an asterisk (*) are estimates only — actual baselines may be higher or lower.</w:t>
      </w:r>
    </w:p>
    <w:p>
      <w:pPr>
        <w:shd w:fill="F5F5F5" w:color="auto" w:val="clear"/>
        <w:spacing w:before="200" w:after="40"/>
      </w:pPr>
      <w:r>
        <w:rPr>
          <w:rFonts w:ascii="Calibri" w:hAnsi="Calibri"/>
          <w:b/>
          <w:color w:val="58585A"/>
          <w:sz w:val="22"/>
        </w:rPr>
        <w:t xml:space="preserve">  Lead Volume</w:t>
      </w:r>
    </w:p>
    <w:tbl>
      <w:tblPr>
        <w:tblW w:type="auto" w:w="0"/>
        <w:tblLook w:firstColumn="1" w:firstRow="1" w:lastColumn="0" w:lastRow="0" w:noHBand="0" w:noVBand="1" w:val="04A0"/>
        <w:tblBorders>
          <w:top w:val="none"/>
          <w:left w:val="none"/>
          <w:bottom w:val="none"/>
          <w:right w:val="none"/>
          <w:insideH w:val="none"/>
          <w:insideV w:val="none"/>
        </w:tblBorders>
      </w:tblPr>
      <w:tblGrid>
        <w:gridCol w:w="1337"/>
        <w:gridCol w:w="1337"/>
        <w:gridCol w:w="1337"/>
        <w:gridCol w:w="1337"/>
        <w:gridCol w:w="1337"/>
        <w:gridCol w:w="1337"/>
        <w:gridCol w:w="1337"/>
      </w:tblGrid>
      <w:tr>
        <w:tc>
          <w:tcPr>
            <w:tcW w:type="dxa" w:w="1337"/>
            <w:shd w:fill="1A2533" w:color="auto" w:val="clear"/>
          </w:tcPr>
          <w:p>
            <w:pPr>
              <w:spacing w:before="80" w:after="80"/>
            </w:pPr>
            <w:r>
              <w:rPr>
                <w:rFonts w:ascii="Calibri" w:hAnsi="Calibri"/>
                <w:b/>
                <w:color w:val="FFFFFF"/>
                <w:sz w:val="18"/>
              </w:rPr>
              <w:t>Metric</w:t>
            </w:r>
          </w:p>
        </w:tc>
        <w:tc>
          <w:tcPr>
            <w:tcW w:type="dxa" w:w="1337"/>
            <w:shd w:fill="1A2533" w:color="auto" w:val="clear"/>
          </w:tcPr>
          <w:p>
            <w:pPr>
              <w:spacing w:before="80" w:after="80"/>
            </w:pPr>
            <w:r>
              <w:rPr>
                <w:rFonts w:ascii="Calibri" w:hAnsi="Calibri"/>
                <w:b/>
                <w:color w:val="FFFFFF"/>
                <w:sz w:val="18"/>
              </w:rPr>
              <w:t>Current Baseline*</w:t>
            </w:r>
          </w:p>
        </w:tc>
        <w:tc>
          <w:tcPr>
            <w:tcW w:type="dxa" w:w="1337"/>
            <w:shd w:fill="1A2533" w:color="auto" w:val="clear"/>
          </w:tcPr>
          <w:p>
            <w:pPr>
              <w:spacing w:before="80" w:after="80"/>
            </w:pPr>
            <w:r>
              <w:rPr>
                <w:rFonts w:ascii="Calibri" w:hAnsi="Calibri"/>
                <w:b/>
                <w:color w:val="FFFFFF"/>
                <w:sz w:val="18"/>
              </w:rPr>
              <w:t>30 Days</w:t>
            </w:r>
          </w:p>
        </w:tc>
        <w:tc>
          <w:tcPr>
            <w:tcW w:type="dxa" w:w="1337"/>
            <w:shd w:fill="1A2533" w:color="auto" w:val="clear"/>
          </w:tcPr>
          <w:p>
            <w:pPr>
              <w:spacing w:before="80" w:after="80"/>
            </w:pPr>
            <w:r>
              <w:rPr>
                <w:rFonts w:ascii="Calibri" w:hAnsi="Calibri"/>
                <w:b/>
                <w:color w:val="FFFFFF"/>
                <w:sz w:val="18"/>
              </w:rPr>
              <w:t>60 Days</w:t>
            </w:r>
          </w:p>
        </w:tc>
        <w:tc>
          <w:tcPr>
            <w:tcW w:type="dxa" w:w="1337"/>
            <w:shd w:fill="1A2533" w:color="auto" w:val="clear"/>
          </w:tcPr>
          <w:p>
            <w:pPr>
              <w:spacing w:before="80" w:after="80"/>
            </w:pPr>
            <w:r>
              <w:rPr>
                <w:rFonts w:ascii="Calibri" w:hAnsi="Calibri"/>
                <w:b/>
                <w:color w:val="FFFFFF"/>
                <w:sz w:val="18"/>
              </w:rPr>
              <w:t>90 Days</w:t>
            </w:r>
          </w:p>
        </w:tc>
        <w:tc>
          <w:tcPr>
            <w:tcW w:type="dxa" w:w="1337"/>
            <w:shd w:fill="1A2533" w:color="auto" w:val="clear"/>
          </w:tcPr>
          <w:p>
            <w:pPr>
              <w:spacing w:before="80" w:after="80"/>
            </w:pPr>
            <w:r>
              <w:rPr>
                <w:rFonts w:ascii="Calibri" w:hAnsi="Calibri"/>
                <w:b/>
                <w:color w:val="FFFFFF"/>
                <w:sz w:val="18"/>
              </w:rPr>
              <w:t>6 Months</w:t>
            </w:r>
          </w:p>
        </w:tc>
        <w:tc>
          <w:tcPr>
            <w:tcW w:type="dxa" w:w="1337"/>
            <w:shd w:fill="1A2533" w:color="auto" w:val="clear"/>
          </w:tcPr>
          <w:p>
            <w:pPr>
              <w:spacing w:before="80" w:after="80"/>
            </w:pPr>
            <w:r>
              <w:rPr>
                <w:rFonts w:ascii="Calibri" w:hAnsi="Calibri"/>
                <w:b/>
                <w:color w:val="FFFFFF"/>
                <w:sz w:val="18"/>
              </w:rPr>
              <w:t>12 Months</w:t>
            </w:r>
          </w:p>
        </w:tc>
      </w:tr>
      <w:tr>
        <w:tc>
          <w:tcPr>
            <w:tcW w:type="dxa" w:w="1337"/>
            <w:shd w:fill="FFFFFF" w:color="auto" w:val="clear"/>
          </w:tcPr>
          <w:p>
            <w:pPr>
              <w:spacing w:before="80" w:after="80"/>
            </w:pPr>
            <w:r>
              <w:rPr>
                <w:rFonts w:ascii="Calibri" w:hAnsi="Calibri"/>
                <w:b w:val="0"/>
                <w:color w:val="333333"/>
                <w:sz w:val="18"/>
              </w:rPr>
              <w:t>Monthly inbound leads (personal)</w:t>
            </w:r>
          </w:p>
        </w:tc>
        <w:tc>
          <w:tcPr>
            <w:tcW w:type="dxa" w:w="1337"/>
            <w:shd w:fill="FFFFFF" w:color="auto" w:val="clear"/>
          </w:tcPr>
          <w:p>
            <w:pPr>
              <w:spacing w:before="80" w:after="80"/>
            </w:pPr>
            <w:r>
              <w:rPr>
                <w:rFonts w:ascii="Calibri" w:hAnsi="Calibri"/>
                <w:b w:val="0"/>
                <w:color w:val="333333"/>
                <w:sz w:val="18"/>
              </w:rPr>
              <w:t>3–6</w:t>
            </w:r>
          </w:p>
        </w:tc>
        <w:tc>
          <w:tcPr>
            <w:tcW w:type="dxa" w:w="1337"/>
            <w:shd w:fill="FFFFFF" w:color="auto" w:val="clear"/>
          </w:tcPr>
          <w:p>
            <w:pPr>
              <w:spacing w:before="80" w:after="80"/>
            </w:pPr>
            <w:r>
              <w:rPr>
                <w:rFonts w:ascii="Calibri" w:hAnsi="Calibri"/>
                <w:b w:val="0"/>
                <w:color w:val="333333"/>
                <w:sz w:val="18"/>
              </w:rPr>
              <w:t>5–8</w:t>
            </w:r>
          </w:p>
        </w:tc>
        <w:tc>
          <w:tcPr>
            <w:tcW w:type="dxa" w:w="1337"/>
            <w:shd w:fill="FFFFFF" w:color="auto" w:val="clear"/>
          </w:tcPr>
          <w:p>
            <w:pPr>
              <w:spacing w:before="80" w:after="80"/>
            </w:pPr>
            <w:r>
              <w:rPr>
                <w:rFonts w:ascii="Calibri" w:hAnsi="Calibri"/>
                <w:b w:val="0"/>
                <w:color w:val="333333"/>
                <w:sz w:val="18"/>
              </w:rPr>
              <w:t>8–12</w:t>
            </w:r>
          </w:p>
        </w:tc>
        <w:tc>
          <w:tcPr>
            <w:tcW w:type="dxa" w:w="1337"/>
            <w:shd w:fill="FFFFFF" w:color="auto" w:val="clear"/>
          </w:tcPr>
          <w:p>
            <w:pPr>
              <w:spacing w:before="80" w:after="80"/>
            </w:pPr>
            <w:r>
              <w:rPr>
                <w:rFonts w:ascii="Calibri" w:hAnsi="Calibri"/>
                <w:b w:val="0"/>
                <w:color w:val="333333"/>
                <w:sz w:val="18"/>
              </w:rPr>
              <w:t>10–15</w:t>
            </w:r>
          </w:p>
        </w:tc>
        <w:tc>
          <w:tcPr>
            <w:tcW w:type="dxa" w:w="1337"/>
            <w:shd w:fill="FFFFFF" w:color="auto" w:val="clear"/>
          </w:tcPr>
          <w:p>
            <w:pPr>
              <w:spacing w:before="80" w:after="80"/>
            </w:pPr>
            <w:r>
              <w:rPr>
                <w:rFonts w:ascii="Calibri" w:hAnsi="Calibri"/>
                <w:b w:val="0"/>
                <w:color w:val="333333"/>
                <w:sz w:val="18"/>
              </w:rPr>
              <w:t>15–18</w:t>
            </w:r>
          </w:p>
        </w:tc>
        <w:tc>
          <w:tcPr>
            <w:tcW w:type="dxa" w:w="1337"/>
            <w:shd w:fill="FFFFFF" w:color="auto" w:val="clear"/>
          </w:tcPr>
          <w:p>
            <w:pPr>
              <w:spacing w:before="80" w:after="80"/>
            </w:pPr>
            <w:r>
              <w:rPr>
                <w:rFonts w:ascii="Calibri" w:hAnsi="Calibri"/>
                <w:b w:val="0"/>
                <w:color w:val="333333"/>
                <w:sz w:val="18"/>
              </w:rPr>
              <w:t>18–22</w:t>
            </w:r>
          </w:p>
        </w:tc>
      </w:tr>
      <w:tr>
        <w:tc>
          <w:tcPr>
            <w:tcW w:type="dxa" w:w="1337"/>
            <w:shd w:fill="EAF6FC" w:color="auto" w:val="clear"/>
          </w:tcPr>
          <w:p>
            <w:pPr>
              <w:spacing w:before="80" w:after="80"/>
            </w:pPr>
            <w:r>
              <w:rPr>
                <w:rFonts w:ascii="Calibri" w:hAnsi="Calibri"/>
                <w:b w:val="0"/>
                <w:color w:val="333333"/>
                <w:sz w:val="18"/>
              </w:rPr>
              <w:t>Lead source — organic search</w:t>
            </w:r>
          </w:p>
        </w:tc>
        <w:tc>
          <w:tcPr>
            <w:tcW w:type="dxa" w:w="1337"/>
            <w:shd w:fill="EAF6FC" w:color="auto" w:val="clear"/>
          </w:tcPr>
          <w:p>
            <w:pPr>
              <w:spacing w:before="80" w:after="80"/>
            </w:pPr>
            <w:r>
              <w:rPr>
                <w:rFonts w:ascii="Calibri" w:hAnsi="Calibri"/>
                <w:b w:val="0"/>
                <w:color w:val="333333"/>
                <w:sz w:val="18"/>
              </w:rPr>
              <w:t>1–2</w:t>
            </w:r>
          </w:p>
        </w:tc>
        <w:tc>
          <w:tcPr>
            <w:tcW w:type="dxa" w:w="1337"/>
            <w:shd w:fill="EAF6FC" w:color="auto" w:val="clear"/>
          </w:tcPr>
          <w:p>
            <w:pPr>
              <w:spacing w:before="80" w:after="80"/>
            </w:pPr>
            <w:r>
              <w:rPr>
                <w:rFonts w:ascii="Calibri" w:hAnsi="Calibri"/>
                <w:b w:val="0"/>
                <w:color w:val="333333"/>
                <w:sz w:val="18"/>
              </w:rPr>
              <w:t>2–4</w:t>
            </w:r>
          </w:p>
        </w:tc>
        <w:tc>
          <w:tcPr>
            <w:tcW w:type="dxa" w:w="1337"/>
            <w:shd w:fill="EAF6FC" w:color="auto" w:val="clear"/>
          </w:tcPr>
          <w:p>
            <w:pPr>
              <w:spacing w:before="80" w:after="80"/>
            </w:pPr>
            <w:r>
              <w:rPr>
                <w:rFonts w:ascii="Calibri" w:hAnsi="Calibri"/>
                <w:b w:val="0"/>
                <w:color w:val="333333"/>
                <w:sz w:val="18"/>
              </w:rPr>
              <w:t>4–6</w:t>
            </w:r>
          </w:p>
        </w:tc>
        <w:tc>
          <w:tcPr>
            <w:tcW w:type="dxa" w:w="1337"/>
            <w:shd w:fill="EAF6FC" w:color="auto" w:val="clear"/>
          </w:tcPr>
          <w:p>
            <w:pPr>
              <w:spacing w:before="80" w:after="80"/>
            </w:pPr>
            <w:r>
              <w:rPr>
                <w:rFonts w:ascii="Calibri" w:hAnsi="Calibri"/>
                <w:b w:val="0"/>
                <w:color w:val="333333"/>
                <w:sz w:val="18"/>
              </w:rPr>
              <w:t>5–8</w:t>
            </w:r>
          </w:p>
        </w:tc>
        <w:tc>
          <w:tcPr>
            <w:tcW w:type="dxa" w:w="1337"/>
            <w:shd w:fill="EAF6FC" w:color="auto" w:val="clear"/>
          </w:tcPr>
          <w:p>
            <w:pPr>
              <w:spacing w:before="80" w:after="80"/>
            </w:pPr>
            <w:r>
              <w:rPr>
                <w:rFonts w:ascii="Calibri" w:hAnsi="Calibri"/>
                <w:b w:val="0"/>
                <w:color w:val="333333"/>
                <w:sz w:val="18"/>
              </w:rPr>
              <w:t>7–10</w:t>
            </w:r>
          </w:p>
        </w:tc>
        <w:tc>
          <w:tcPr>
            <w:tcW w:type="dxa" w:w="1337"/>
            <w:shd w:fill="EAF6FC" w:color="auto" w:val="clear"/>
          </w:tcPr>
          <w:p>
            <w:pPr>
              <w:spacing w:before="80" w:after="80"/>
            </w:pPr>
            <w:r>
              <w:rPr>
                <w:rFonts w:ascii="Calibri" w:hAnsi="Calibri"/>
                <w:b w:val="0"/>
                <w:color w:val="333333"/>
                <w:sz w:val="18"/>
              </w:rPr>
              <w:t>8–12</w:t>
            </w:r>
          </w:p>
        </w:tc>
      </w:tr>
      <w:tr>
        <w:tc>
          <w:tcPr>
            <w:tcW w:type="dxa" w:w="1337"/>
            <w:shd w:fill="FFFFFF" w:color="auto" w:val="clear"/>
          </w:tcPr>
          <w:p>
            <w:pPr>
              <w:spacing w:before="80" w:after="80"/>
            </w:pPr>
            <w:r>
              <w:rPr>
                <w:rFonts w:ascii="Calibri" w:hAnsi="Calibri"/>
                <w:b w:val="0"/>
                <w:color w:val="333333"/>
                <w:sz w:val="18"/>
              </w:rPr>
              <w:t>Lead source — referral (CPA/advisor)</w:t>
            </w:r>
          </w:p>
        </w:tc>
        <w:tc>
          <w:tcPr>
            <w:tcW w:type="dxa" w:w="1337"/>
            <w:shd w:fill="FFFFFF" w:color="auto" w:val="clear"/>
          </w:tcPr>
          <w:p>
            <w:pPr>
              <w:spacing w:before="80" w:after="80"/>
            </w:pPr>
            <w:r>
              <w:rPr>
                <w:rFonts w:ascii="Calibri" w:hAnsi="Calibri"/>
                <w:b w:val="0"/>
                <w:color w:val="333333"/>
                <w:sz w:val="18"/>
              </w:rPr>
              <w:t>0</w:t>
            </w:r>
          </w:p>
        </w:tc>
        <w:tc>
          <w:tcPr>
            <w:tcW w:type="dxa" w:w="1337"/>
            <w:shd w:fill="FFFFFF" w:color="auto" w:val="clear"/>
          </w:tcPr>
          <w:p>
            <w:pPr>
              <w:spacing w:before="80" w:after="80"/>
            </w:pPr>
            <w:r>
              <w:rPr>
                <w:rFonts w:ascii="Calibri" w:hAnsi="Calibri"/>
                <w:b w:val="0"/>
                <w:color w:val="333333"/>
                <w:sz w:val="18"/>
              </w:rPr>
              <w:t>1</w:t>
            </w:r>
          </w:p>
        </w:tc>
        <w:tc>
          <w:tcPr>
            <w:tcW w:type="dxa" w:w="1337"/>
            <w:shd w:fill="FFFFFF" w:color="auto" w:val="clear"/>
          </w:tcPr>
          <w:p>
            <w:pPr>
              <w:spacing w:before="80" w:after="80"/>
            </w:pPr>
            <w:r>
              <w:rPr>
                <w:rFonts w:ascii="Calibri" w:hAnsi="Calibri"/>
                <w:b w:val="0"/>
                <w:color w:val="333333"/>
                <w:sz w:val="18"/>
              </w:rPr>
              <w:t>2–3</w:t>
            </w:r>
          </w:p>
        </w:tc>
        <w:tc>
          <w:tcPr>
            <w:tcW w:type="dxa" w:w="1337"/>
            <w:shd w:fill="FFFFFF" w:color="auto" w:val="clear"/>
          </w:tcPr>
          <w:p>
            <w:pPr>
              <w:spacing w:before="80" w:after="80"/>
            </w:pPr>
            <w:r>
              <w:rPr>
                <w:rFonts w:ascii="Calibri" w:hAnsi="Calibri"/>
                <w:b w:val="0"/>
                <w:color w:val="333333"/>
                <w:sz w:val="18"/>
              </w:rPr>
              <w:t>3–5</w:t>
            </w:r>
          </w:p>
        </w:tc>
        <w:tc>
          <w:tcPr>
            <w:tcW w:type="dxa" w:w="1337"/>
            <w:shd w:fill="FFFFFF" w:color="auto" w:val="clear"/>
          </w:tcPr>
          <w:p>
            <w:pPr>
              <w:spacing w:before="80" w:after="80"/>
            </w:pPr>
            <w:r>
              <w:rPr>
                <w:rFonts w:ascii="Calibri" w:hAnsi="Calibri"/>
                <w:b w:val="0"/>
                <w:color w:val="333333"/>
                <w:sz w:val="18"/>
              </w:rPr>
              <w:t>5–7</w:t>
            </w:r>
          </w:p>
        </w:tc>
        <w:tc>
          <w:tcPr>
            <w:tcW w:type="dxa" w:w="1337"/>
            <w:shd w:fill="FFFFFF" w:color="auto" w:val="clear"/>
          </w:tcPr>
          <w:p>
            <w:pPr>
              <w:spacing w:before="80" w:after="80"/>
            </w:pPr>
            <w:r>
              <w:rPr>
                <w:rFonts w:ascii="Calibri" w:hAnsi="Calibri"/>
                <w:b w:val="0"/>
                <w:color w:val="333333"/>
                <w:sz w:val="18"/>
              </w:rPr>
              <w:t>6–8</w:t>
            </w:r>
          </w:p>
        </w:tc>
      </w:tr>
      <w:tr>
        <w:tc>
          <w:tcPr>
            <w:tcW w:type="dxa" w:w="1337"/>
            <w:shd w:fill="EAF6FC" w:color="auto" w:val="clear"/>
          </w:tcPr>
          <w:p>
            <w:pPr>
              <w:spacing w:before="80" w:after="80"/>
            </w:pPr>
            <w:r>
              <w:rPr>
                <w:rFonts w:ascii="Calibri" w:hAnsi="Calibri"/>
                <w:b w:val="0"/>
                <w:color w:val="333333"/>
                <w:sz w:val="18"/>
              </w:rPr>
              <w:t>Lead source — Google GBP</w:t>
            </w:r>
          </w:p>
        </w:tc>
        <w:tc>
          <w:tcPr>
            <w:tcW w:type="dxa" w:w="1337"/>
            <w:shd w:fill="EAF6FC" w:color="auto" w:val="clear"/>
          </w:tcPr>
          <w:p>
            <w:pPr>
              <w:spacing w:before="80" w:after="80"/>
            </w:pPr>
            <w:r>
              <w:rPr>
                <w:rFonts w:ascii="Calibri" w:hAnsi="Calibri"/>
                <w:b w:val="0"/>
                <w:color w:val="333333"/>
                <w:sz w:val="18"/>
              </w:rPr>
              <w:t>1–2</w:t>
            </w:r>
          </w:p>
        </w:tc>
        <w:tc>
          <w:tcPr>
            <w:tcW w:type="dxa" w:w="1337"/>
            <w:shd w:fill="EAF6FC" w:color="auto" w:val="clear"/>
          </w:tcPr>
          <w:p>
            <w:pPr>
              <w:spacing w:before="80" w:after="80"/>
            </w:pPr>
            <w:r>
              <w:rPr>
                <w:rFonts w:ascii="Calibri" w:hAnsi="Calibri"/>
                <w:b w:val="0"/>
                <w:color w:val="333333"/>
                <w:sz w:val="18"/>
              </w:rPr>
              <w:t>2–3</w:t>
            </w:r>
          </w:p>
        </w:tc>
        <w:tc>
          <w:tcPr>
            <w:tcW w:type="dxa" w:w="1337"/>
            <w:shd w:fill="EAF6FC" w:color="auto" w:val="clear"/>
          </w:tcPr>
          <w:p>
            <w:pPr>
              <w:spacing w:before="80" w:after="80"/>
            </w:pPr>
            <w:r>
              <w:rPr>
                <w:rFonts w:ascii="Calibri" w:hAnsi="Calibri"/>
                <w:b w:val="0"/>
                <w:color w:val="333333"/>
                <w:sz w:val="18"/>
              </w:rPr>
              <w:t>3–5</w:t>
            </w:r>
          </w:p>
        </w:tc>
        <w:tc>
          <w:tcPr>
            <w:tcW w:type="dxa" w:w="1337"/>
            <w:shd w:fill="EAF6FC" w:color="auto" w:val="clear"/>
          </w:tcPr>
          <w:p>
            <w:pPr>
              <w:spacing w:before="80" w:after="80"/>
            </w:pPr>
            <w:r>
              <w:rPr>
                <w:rFonts w:ascii="Calibri" w:hAnsi="Calibri"/>
                <w:b w:val="0"/>
                <w:color w:val="333333"/>
                <w:sz w:val="18"/>
              </w:rPr>
              <w:t>4–6</w:t>
            </w:r>
          </w:p>
        </w:tc>
        <w:tc>
          <w:tcPr>
            <w:tcW w:type="dxa" w:w="1337"/>
            <w:shd w:fill="EAF6FC" w:color="auto" w:val="clear"/>
          </w:tcPr>
          <w:p>
            <w:pPr>
              <w:spacing w:before="80" w:after="80"/>
            </w:pPr>
            <w:r>
              <w:rPr>
                <w:rFonts w:ascii="Calibri" w:hAnsi="Calibri"/>
                <w:b w:val="0"/>
                <w:color w:val="333333"/>
                <w:sz w:val="18"/>
              </w:rPr>
              <w:t>5–7</w:t>
            </w:r>
          </w:p>
        </w:tc>
        <w:tc>
          <w:tcPr>
            <w:tcW w:type="dxa" w:w="1337"/>
            <w:shd w:fill="EAF6FC" w:color="auto" w:val="clear"/>
          </w:tcPr>
          <w:p>
            <w:pPr>
              <w:spacing w:before="80" w:after="80"/>
            </w:pPr>
            <w:r>
              <w:rPr>
                <w:rFonts w:ascii="Calibri" w:hAnsi="Calibri"/>
                <w:b w:val="0"/>
                <w:color w:val="333333"/>
                <w:sz w:val="18"/>
              </w:rPr>
              <w:t>6–8</w:t>
            </w:r>
          </w:p>
        </w:tc>
      </w:tr>
      <w:tr>
        <w:tc>
          <w:tcPr>
            <w:tcW w:type="dxa" w:w="1337"/>
            <w:shd w:fill="FFFFFF" w:color="auto" w:val="clear"/>
          </w:tcPr>
          <w:p>
            <w:pPr>
              <w:spacing w:before="80" w:after="80"/>
            </w:pPr>
            <w:r>
              <w:rPr>
                <w:rFonts w:ascii="Calibri" w:hAnsi="Calibri"/>
                <w:b w:val="0"/>
                <w:color w:val="333333"/>
                <w:sz w:val="18"/>
              </w:rPr>
              <w:t>Lead source — LinkedIn</w:t>
            </w:r>
          </w:p>
        </w:tc>
        <w:tc>
          <w:tcPr>
            <w:tcW w:type="dxa" w:w="1337"/>
            <w:shd w:fill="FFFFFF" w:color="auto" w:val="clear"/>
          </w:tcPr>
          <w:p>
            <w:pPr>
              <w:spacing w:before="80" w:after="80"/>
            </w:pPr>
            <w:r>
              <w:rPr>
                <w:rFonts w:ascii="Calibri" w:hAnsi="Calibri"/>
                <w:b w:val="0"/>
                <w:color w:val="333333"/>
                <w:sz w:val="18"/>
              </w:rPr>
              <w:t>0</w:t>
            </w:r>
          </w:p>
        </w:tc>
        <w:tc>
          <w:tcPr>
            <w:tcW w:type="dxa" w:w="1337"/>
            <w:shd w:fill="FFFFFF" w:color="auto" w:val="clear"/>
          </w:tcPr>
          <w:p>
            <w:pPr>
              <w:spacing w:before="80" w:after="80"/>
            </w:pPr>
            <w:r>
              <w:rPr>
                <w:rFonts w:ascii="Calibri" w:hAnsi="Calibri"/>
                <w:b w:val="0"/>
                <w:color w:val="333333"/>
                <w:sz w:val="18"/>
              </w:rPr>
              <w:t>0</w:t>
            </w:r>
          </w:p>
        </w:tc>
        <w:tc>
          <w:tcPr>
            <w:tcW w:type="dxa" w:w="1337"/>
            <w:shd w:fill="FFFFFF" w:color="auto" w:val="clear"/>
          </w:tcPr>
          <w:p>
            <w:pPr>
              <w:spacing w:before="80" w:after="80"/>
            </w:pPr>
            <w:r>
              <w:rPr>
                <w:rFonts w:ascii="Calibri" w:hAnsi="Calibri"/>
                <w:b w:val="0"/>
                <w:color w:val="333333"/>
                <w:sz w:val="18"/>
              </w:rPr>
              <w:t>1</w:t>
            </w:r>
          </w:p>
        </w:tc>
        <w:tc>
          <w:tcPr>
            <w:tcW w:type="dxa" w:w="1337"/>
            <w:shd w:fill="FFFFFF" w:color="auto" w:val="clear"/>
          </w:tcPr>
          <w:p>
            <w:pPr>
              <w:spacing w:before="80" w:after="80"/>
            </w:pPr>
            <w:r>
              <w:rPr>
                <w:rFonts w:ascii="Calibri" w:hAnsi="Calibri"/>
                <w:b w:val="0"/>
                <w:color w:val="333333"/>
                <w:sz w:val="18"/>
              </w:rPr>
              <w:t>2–3</w:t>
            </w:r>
          </w:p>
        </w:tc>
        <w:tc>
          <w:tcPr>
            <w:tcW w:type="dxa" w:w="1337"/>
            <w:shd w:fill="FFFFFF" w:color="auto" w:val="clear"/>
          </w:tcPr>
          <w:p>
            <w:pPr>
              <w:spacing w:before="80" w:after="80"/>
            </w:pPr>
            <w:r>
              <w:rPr>
                <w:rFonts w:ascii="Calibri" w:hAnsi="Calibri"/>
                <w:b w:val="0"/>
                <w:color w:val="333333"/>
                <w:sz w:val="18"/>
              </w:rPr>
              <w:t>3–4</w:t>
            </w:r>
          </w:p>
        </w:tc>
        <w:tc>
          <w:tcPr>
            <w:tcW w:type="dxa" w:w="1337"/>
            <w:shd w:fill="FFFFFF" w:color="auto" w:val="clear"/>
          </w:tcPr>
          <w:p>
            <w:pPr>
              <w:spacing w:before="80" w:after="80"/>
            </w:pPr>
            <w:r>
              <w:rPr>
                <w:rFonts w:ascii="Calibri" w:hAnsi="Calibri"/>
                <w:b w:val="0"/>
                <w:color w:val="333333"/>
                <w:sz w:val="18"/>
              </w:rPr>
              <w:t>3–5</w:t>
            </w:r>
          </w:p>
        </w:tc>
      </w:tr>
    </w:tbl>
    <w:p>
      <w:pPr>
        <w:spacing w:before="0" w:after="120"/>
      </w:pPr>
    </w:p>
    <w:p>
      <w:pPr>
        <w:shd w:fill="F5F5F5" w:color="auto" w:val="clear"/>
        <w:spacing w:before="200" w:after="40"/>
      </w:pPr>
      <w:r>
        <w:rPr>
          <w:rFonts w:ascii="Calibri" w:hAnsi="Calibri"/>
          <w:b/>
          <w:color w:val="58585A"/>
          <w:sz w:val="22"/>
        </w:rPr>
        <w:t xml:space="preserve">  Conversion Rate</w:t>
      </w:r>
    </w:p>
    <w:tbl>
      <w:tblPr>
        <w:tblW w:type="auto" w:w="0"/>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shd w:fill="1A2533" w:color="auto" w:val="clear"/>
          </w:tcPr>
          <w:p>
            <w:pPr>
              <w:spacing w:before="80" w:after="80"/>
            </w:pPr>
            <w:r>
              <w:rPr>
                <w:rFonts w:ascii="Calibri" w:hAnsi="Calibri"/>
                <w:b/>
                <w:color w:val="FFFFFF"/>
                <w:sz w:val="18"/>
              </w:rPr>
              <w:t>Metric</w:t>
            </w:r>
          </w:p>
        </w:tc>
        <w:tc>
          <w:tcPr>
            <w:tcW w:type="dxa" w:w="2340"/>
            <w:shd w:fill="1A2533" w:color="auto" w:val="clear"/>
          </w:tcPr>
          <w:p>
            <w:pPr>
              <w:spacing w:before="80" w:after="80"/>
            </w:pPr>
            <w:r>
              <w:rPr>
                <w:rFonts w:ascii="Calibri" w:hAnsi="Calibri"/>
                <w:b/>
                <w:color w:val="FFFFFF"/>
                <w:sz w:val="18"/>
              </w:rPr>
              <w:t>Current Baseline*</w:t>
            </w:r>
          </w:p>
        </w:tc>
        <w:tc>
          <w:tcPr>
            <w:tcW w:type="dxa" w:w="2340"/>
            <w:shd w:fill="1A2533" w:color="auto" w:val="clear"/>
          </w:tcPr>
          <w:p>
            <w:pPr>
              <w:spacing w:before="80" w:after="80"/>
            </w:pPr>
            <w:r>
              <w:rPr>
                <w:rFonts w:ascii="Calibri" w:hAnsi="Calibri"/>
                <w:b/>
                <w:color w:val="FFFFFF"/>
                <w:sz w:val="18"/>
              </w:rPr>
              <w:t>Target Q2</w:t>
            </w:r>
          </w:p>
        </w:tc>
        <w:tc>
          <w:tcPr>
            <w:tcW w:type="dxa" w:w="2340"/>
            <w:shd w:fill="1A2533" w:color="auto" w:val="clear"/>
          </w:tcPr>
          <w:p>
            <w:pPr>
              <w:spacing w:before="80" w:after="80"/>
            </w:pPr>
            <w:r>
              <w:rPr>
                <w:rFonts w:ascii="Calibri" w:hAnsi="Calibri"/>
                <w:b/>
                <w:color w:val="FFFFFF"/>
                <w:sz w:val="18"/>
              </w:rPr>
              <w:t>Target Q4</w:t>
            </w:r>
          </w:p>
        </w:tc>
      </w:tr>
      <w:tr>
        <w:tc>
          <w:tcPr>
            <w:tcW w:type="dxa" w:w="2340"/>
            <w:shd w:fill="FFFFFF" w:color="auto" w:val="clear"/>
          </w:tcPr>
          <w:p>
            <w:pPr>
              <w:spacing w:before="80" w:after="80"/>
            </w:pPr>
            <w:r>
              <w:rPr>
                <w:rFonts w:ascii="Calibri" w:hAnsi="Calibri"/>
                <w:b w:val="0"/>
                <w:color w:val="333333"/>
                <w:sz w:val="18"/>
              </w:rPr>
              <w:t>Consultation-to-retained client rate</w:t>
            </w:r>
          </w:p>
        </w:tc>
        <w:tc>
          <w:tcPr>
            <w:tcW w:type="dxa" w:w="2340"/>
            <w:shd w:fill="FFFFFF" w:color="auto" w:val="clear"/>
          </w:tcPr>
          <w:p>
            <w:pPr>
              <w:spacing w:before="80" w:after="80"/>
            </w:pPr>
            <w:r>
              <w:rPr>
                <w:rFonts w:ascii="Calibri" w:hAnsi="Calibri"/>
                <w:b w:val="0"/>
                <w:color w:val="333333"/>
                <w:sz w:val="18"/>
              </w:rPr>
              <w:t>~60%</w:t>
            </w:r>
          </w:p>
        </w:tc>
        <w:tc>
          <w:tcPr>
            <w:tcW w:type="dxa" w:w="2340"/>
            <w:shd w:fill="FFFFFF" w:color="auto" w:val="clear"/>
          </w:tcPr>
          <w:p>
            <w:pPr>
              <w:spacing w:before="80" w:after="80"/>
            </w:pPr>
            <w:r>
              <w:rPr>
                <w:rFonts w:ascii="Calibri" w:hAnsi="Calibri"/>
                <w:b w:val="0"/>
                <w:color w:val="333333"/>
                <w:sz w:val="18"/>
              </w:rPr>
              <w:t>65%</w:t>
            </w:r>
          </w:p>
        </w:tc>
        <w:tc>
          <w:tcPr>
            <w:tcW w:type="dxa" w:w="2340"/>
            <w:shd w:fill="FFFFFF" w:color="auto" w:val="clear"/>
          </w:tcPr>
          <w:p>
            <w:pPr>
              <w:spacing w:before="80" w:after="80"/>
            </w:pPr>
            <w:r>
              <w:rPr>
                <w:rFonts w:ascii="Calibri" w:hAnsi="Calibri"/>
                <w:b w:val="0"/>
                <w:color w:val="333333"/>
                <w:sz w:val="18"/>
              </w:rPr>
              <w:t>70%</w:t>
            </w:r>
          </w:p>
        </w:tc>
      </w:tr>
      <w:tr>
        <w:tc>
          <w:tcPr>
            <w:tcW w:type="dxa" w:w="2340"/>
            <w:shd w:fill="EAF6FC" w:color="auto" w:val="clear"/>
          </w:tcPr>
          <w:p>
            <w:pPr>
              <w:spacing w:before="80" w:after="80"/>
            </w:pPr>
            <w:r>
              <w:rPr>
                <w:rFonts w:ascii="Calibri" w:hAnsi="Calibri"/>
                <w:b w:val="0"/>
                <w:color w:val="333333"/>
                <w:sz w:val="18"/>
              </w:rPr>
              <w:t>Lead-to-consultation booked rate</w:t>
            </w:r>
          </w:p>
        </w:tc>
        <w:tc>
          <w:tcPr>
            <w:tcW w:type="dxa" w:w="2340"/>
            <w:shd w:fill="EAF6FC" w:color="auto" w:val="clear"/>
          </w:tcPr>
          <w:p>
            <w:pPr>
              <w:spacing w:before="80" w:after="80"/>
            </w:pPr>
            <w:r>
              <w:rPr>
                <w:rFonts w:ascii="Calibri" w:hAnsi="Calibri"/>
                <w:b w:val="0"/>
                <w:color w:val="333333"/>
                <w:sz w:val="18"/>
              </w:rPr>
              <w:t>~40%</w:t>
            </w:r>
          </w:p>
        </w:tc>
        <w:tc>
          <w:tcPr>
            <w:tcW w:type="dxa" w:w="2340"/>
            <w:shd w:fill="EAF6FC" w:color="auto" w:val="clear"/>
          </w:tcPr>
          <w:p>
            <w:pPr>
              <w:spacing w:before="80" w:after="80"/>
            </w:pPr>
            <w:r>
              <w:rPr>
                <w:rFonts w:ascii="Calibri" w:hAnsi="Calibri"/>
                <w:b w:val="0"/>
                <w:color w:val="333333"/>
                <w:sz w:val="18"/>
              </w:rPr>
              <w:t>50%</w:t>
            </w:r>
          </w:p>
        </w:tc>
        <w:tc>
          <w:tcPr>
            <w:tcW w:type="dxa" w:w="2340"/>
            <w:shd w:fill="EAF6FC" w:color="auto" w:val="clear"/>
          </w:tcPr>
          <w:p>
            <w:pPr>
              <w:spacing w:before="80" w:after="80"/>
            </w:pPr>
            <w:r>
              <w:rPr>
                <w:rFonts w:ascii="Calibri" w:hAnsi="Calibri"/>
                <w:b w:val="0"/>
                <w:color w:val="333333"/>
                <w:sz w:val="18"/>
              </w:rPr>
              <w:t>60%</w:t>
            </w:r>
          </w:p>
        </w:tc>
      </w:tr>
    </w:tbl>
    <w:p>
      <w:pPr>
        <w:spacing w:before="0" w:after="120"/>
      </w:pPr>
    </w:p>
    <w:p>
      <w:pPr>
        <w:spacing w:before="0" w:after="100"/>
      </w:pPr>
      <w:r>
        <w:rPr>
          <w:rFonts w:ascii="Calibri" w:hAnsi="Calibri"/>
          <w:b w:val="0"/>
          <w:i w:val="0"/>
          <w:color w:val="333333"/>
          <w:sz w:val="21"/>
        </w:rPr>
        <w:t>Thomas's conversion rate from consultation to retained client is likely already high given his credentials and 17 years of practice. The primary opportunity is in the lead-to-consultation funnel — improving the website and email nurture sequence so that more inquiries become booked calls.</w:t>
      </w:r>
    </w:p>
    <w:p>
      <w:pPr>
        <w:shd w:fill="F5F5F5" w:color="auto" w:val="clear"/>
        <w:spacing w:before="200" w:after="40"/>
      </w:pPr>
      <w:r>
        <w:rPr>
          <w:rFonts w:ascii="Calibri" w:hAnsi="Calibri"/>
          <w:b/>
          <w:color w:val="58585A"/>
          <w:sz w:val="22"/>
        </w:rPr>
        <w:t xml:space="preserve">  Revenue Metrics</w:t>
      </w:r>
    </w:p>
    <w:tbl>
      <w:tblPr>
        <w:tblW w:type="auto" w:w="0"/>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shd w:fill="1A2533" w:color="auto" w:val="clear"/>
          </w:tcPr>
          <w:p>
            <w:pPr>
              <w:spacing w:before="80" w:after="80"/>
            </w:pPr>
            <w:r>
              <w:rPr>
                <w:rFonts w:ascii="Calibri" w:hAnsi="Calibri"/>
                <w:b/>
                <w:color w:val="FFFFFF"/>
                <w:sz w:val="18"/>
              </w:rPr>
              <w:t>Metric</w:t>
            </w:r>
          </w:p>
        </w:tc>
        <w:tc>
          <w:tcPr>
            <w:tcW w:type="dxa" w:w="2340"/>
            <w:shd w:fill="1A2533" w:color="auto" w:val="clear"/>
          </w:tcPr>
          <w:p>
            <w:pPr>
              <w:spacing w:before="80" w:after="80"/>
            </w:pPr>
            <w:r>
              <w:rPr>
                <w:rFonts w:ascii="Calibri" w:hAnsi="Calibri"/>
                <w:b/>
                <w:color w:val="FFFFFF"/>
                <w:sz w:val="18"/>
              </w:rPr>
              <w:t>Current*</w:t>
            </w:r>
          </w:p>
        </w:tc>
        <w:tc>
          <w:tcPr>
            <w:tcW w:type="dxa" w:w="2340"/>
            <w:shd w:fill="1A2533" w:color="auto" w:val="clear"/>
          </w:tcPr>
          <w:p>
            <w:pPr>
              <w:spacing w:before="80" w:after="80"/>
            </w:pPr>
            <w:r>
              <w:rPr>
                <w:rFonts w:ascii="Calibri" w:hAnsi="Calibri"/>
                <w:b/>
                <w:color w:val="FFFFFF"/>
                <w:sz w:val="18"/>
              </w:rPr>
              <w:t>Target Q2</w:t>
            </w:r>
          </w:p>
        </w:tc>
        <w:tc>
          <w:tcPr>
            <w:tcW w:type="dxa" w:w="2340"/>
            <w:shd w:fill="1A2533" w:color="auto" w:val="clear"/>
          </w:tcPr>
          <w:p>
            <w:pPr>
              <w:spacing w:before="80" w:after="80"/>
            </w:pPr>
            <w:r>
              <w:rPr>
                <w:rFonts w:ascii="Calibri" w:hAnsi="Calibri"/>
                <w:b/>
                <w:color w:val="FFFFFF"/>
                <w:sz w:val="18"/>
              </w:rPr>
              <w:t>Target Q4</w:t>
            </w:r>
          </w:p>
        </w:tc>
      </w:tr>
      <w:tr>
        <w:tc>
          <w:tcPr>
            <w:tcW w:type="dxa" w:w="2340"/>
            <w:shd w:fill="FFFFFF" w:color="auto" w:val="clear"/>
          </w:tcPr>
          <w:p>
            <w:pPr>
              <w:spacing w:before="80" w:after="80"/>
            </w:pPr>
            <w:r>
              <w:rPr>
                <w:rFonts w:ascii="Calibri" w:hAnsi="Calibri"/>
                <w:b w:val="0"/>
                <w:color w:val="333333"/>
                <w:sz w:val="18"/>
              </w:rPr>
              <w:t>Avg retainer / transaction value</w:t>
            </w:r>
          </w:p>
        </w:tc>
        <w:tc>
          <w:tcPr>
            <w:tcW w:type="dxa" w:w="2340"/>
            <w:shd w:fill="FFFFFF" w:color="auto" w:val="clear"/>
          </w:tcPr>
          <w:p>
            <w:pPr>
              <w:spacing w:before="80" w:after="80"/>
            </w:pPr>
            <w:r>
              <w:rPr>
                <w:rFonts w:ascii="Calibri" w:hAnsi="Calibri"/>
                <w:b w:val="0"/>
                <w:color w:val="333333"/>
                <w:sz w:val="18"/>
              </w:rPr>
              <w:t>$12,000</w:t>
            </w:r>
          </w:p>
        </w:tc>
        <w:tc>
          <w:tcPr>
            <w:tcW w:type="dxa" w:w="2340"/>
            <w:shd w:fill="FFFFFF" w:color="auto" w:val="clear"/>
          </w:tcPr>
          <w:p>
            <w:pPr>
              <w:spacing w:before="80" w:after="80"/>
            </w:pPr>
            <w:r>
              <w:rPr>
                <w:rFonts w:ascii="Calibri" w:hAnsi="Calibri"/>
                <w:b w:val="0"/>
                <w:color w:val="333333"/>
                <w:sz w:val="18"/>
              </w:rPr>
              <w:t>$12,000–$14,000</w:t>
            </w:r>
          </w:p>
        </w:tc>
        <w:tc>
          <w:tcPr>
            <w:tcW w:type="dxa" w:w="2340"/>
            <w:shd w:fill="FFFFFF" w:color="auto" w:val="clear"/>
          </w:tcPr>
          <w:p>
            <w:pPr>
              <w:spacing w:before="80" w:after="80"/>
            </w:pPr>
            <w:r>
              <w:rPr>
                <w:rFonts w:ascii="Calibri" w:hAnsi="Calibri"/>
                <w:b w:val="0"/>
                <w:color w:val="333333"/>
                <w:sz w:val="18"/>
              </w:rPr>
              <w:t>$14,000+</w:t>
            </w:r>
          </w:p>
        </w:tc>
      </w:tr>
      <w:tr>
        <w:tc>
          <w:tcPr>
            <w:tcW w:type="dxa" w:w="2340"/>
            <w:shd w:fill="EAF6FC" w:color="auto" w:val="clear"/>
          </w:tcPr>
          <w:p>
            <w:pPr>
              <w:spacing w:before="80" w:after="80"/>
            </w:pPr>
            <w:r>
              <w:rPr>
                <w:rFonts w:ascii="Calibri" w:hAnsi="Calibri"/>
                <w:b w:val="0"/>
                <w:color w:val="333333"/>
                <w:sz w:val="18"/>
              </w:rPr>
              <w:t>Monthly personal client volume</w:t>
            </w:r>
          </w:p>
        </w:tc>
        <w:tc>
          <w:tcPr>
            <w:tcW w:type="dxa" w:w="2340"/>
            <w:shd w:fill="EAF6FC" w:color="auto" w:val="clear"/>
          </w:tcPr>
          <w:p>
            <w:pPr>
              <w:spacing w:before="80" w:after="80"/>
            </w:pPr>
            <w:r>
              <w:rPr>
                <w:rFonts w:ascii="Calibri" w:hAnsi="Calibri"/>
                <w:b w:val="0"/>
                <w:color w:val="333333"/>
                <w:sz w:val="18"/>
              </w:rPr>
              <w:t>~$40–60k*</w:t>
            </w:r>
          </w:p>
        </w:tc>
        <w:tc>
          <w:tcPr>
            <w:tcW w:type="dxa" w:w="2340"/>
            <w:shd w:fill="EAF6FC" w:color="auto" w:val="clear"/>
          </w:tcPr>
          <w:p>
            <w:pPr>
              <w:spacing w:before="80" w:after="80"/>
            </w:pPr>
            <w:r>
              <w:rPr>
                <w:rFonts w:ascii="Calibri" w:hAnsi="Calibri"/>
                <w:b w:val="0"/>
                <w:color w:val="333333"/>
                <w:sz w:val="18"/>
              </w:rPr>
              <w:t>$50–75k</w:t>
            </w:r>
          </w:p>
        </w:tc>
        <w:tc>
          <w:tcPr>
            <w:tcW w:type="dxa" w:w="2340"/>
            <w:shd w:fill="EAF6FC" w:color="auto" w:val="clear"/>
          </w:tcPr>
          <w:p>
            <w:pPr>
              <w:spacing w:before="80" w:after="80"/>
            </w:pPr>
            <w:r>
              <w:rPr>
                <w:rFonts w:ascii="Calibri" w:hAnsi="Calibri"/>
                <w:b w:val="0"/>
                <w:color w:val="333333"/>
                <w:sz w:val="18"/>
              </w:rPr>
              <w:t>$65–90k</w:t>
            </w:r>
          </w:p>
        </w:tc>
      </w:tr>
      <w:tr>
        <w:tc>
          <w:tcPr>
            <w:tcW w:type="dxa" w:w="2340"/>
            <w:shd w:fill="FFFFFF" w:color="auto" w:val="clear"/>
          </w:tcPr>
          <w:p>
            <w:pPr>
              <w:spacing w:before="80" w:after="80"/>
            </w:pPr>
            <w:r>
              <w:rPr>
                <w:rFonts w:ascii="Calibri" w:hAnsi="Calibri"/>
                <w:b w:val="0"/>
                <w:color w:val="333333"/>
                <w:sz w:val="18"/>
              </w:rPr>
              <w:t>Revenue from CPA/advisor referrals</w:t>
            </w:r>
          </w:p>
        </w:tc>
        <w:tc>
          <w:tcPr>
            <w:tcW w:type="dxa" w:w="2340"/>
            <w:shd w:fill="FFFFFF" w:color="auto" w:val="clear"/>
          </w:tcPr>
          <w:p>
            <w:pPr>
              <w:spacing w:before="80" w:after="80"/>
            </w:pPr>
            <w:r>
              <w:rPr>
                <w:rFonts w:ascii="Calibri" w:hAnsi="Calibri"/>
                <w:b w:val="0"/>
                <w:color w:val="333333"/>
                <w:sz w:val="18"/>
              </w:rPr>
              <w:t>~$0 direct</w:t>
            </w:r>
          </w:p>
        </w:tc>
        <w:tc>
          <w:tcPr>
            <w:tcW w:type="dxa" w:w="2340"/>
            <w:shd w:fill="FFFFFF" w:color="auto" w:val="clear"/>
          </w:tcPr>
          <w:p>
            <w:pPr>
              <w:spacing w:before="80" w:after="80"/>
            </w:pPr>
            <w:r>
              <w:rPr>
                <w:rFonts w:ascii="Calibri" w:hAnsi="Calibri"/>
                <w:b w:val="0"/>
                <w:color w:val="333333"/>
                <w:sz w:val="18"/>
              </w:rPr>
              <w:t>$15–25k</w:t>
            </w:r>
          </w:p>
        </w:tc>
        <w:tc>
          <w:tcPr>
            <w:tcW w:type="dxa" w:w="2340"/>
            <w:shd w:fill="FFFFFF" w:color="auto" w:val="clear"/>
          </w:tcPr>
          <w:p>
            <w:pPr>
              <w:spacing w:before="80" w:after="80"/>
            </w:pPr>
            <w:r>
              <w:rPr>
                <w:rFonts w:ascii="Calibri" w:hAnsi="Calibri"/>
                <w:b w:val="0"/>
                <w:color w:val="333333"/>
                <w:sz w:val="18"/>
              </w:rPr>
              <w:t>$40–60k</w:t>
            </w:r>
          </w:p>
        </w:tc>
      </w:tr>
      <w:tr>
        <w:tc>
          <w:tcPr>
            <w:tcW w:type="dxa" w:w="2340"/>
            <w:shd w:fill="EAF6FC" w:color="auto" w:val="clear"/>
          </w:tcPr>
          <w:p>
            <w:pPr>
              <w:spacing w:before="80" w:after="80"/>
            </w:pPr>
            <w:r>
              <w:rPr>
                <w:rFonts w:ascii="Calibri" w:hAnsi="Calibri"/>
                <w:b w:val="0"/>
                <w:color w:val="333333"/>
                <w:sz w:val="18"/>
              </w:rPr>
              <w:t>Revenue increase attributable to ASG engagement</w:t>
            </w:r>
          </w:p>
        </w:tc>
        <w:tc>
          <w:tcPr>
            <w:tcW w:type="dxa" w:w="2340"/>
            <w:shd w:fill="EAF6FC" w:color="auto" w:val="clear"/>
          </w:tcPr>
          <w:p>
            <w:pPr>
              <w:spacing w:before="80" w:after="80"/>
            </w:pPr>
            <w:r>
              <w:rPr>
                <w:rFonts w:ascii="Calibri" w:hAnsi="Calibri"/>
                <w:b w:val="0"/>
                <w:color w:val="333333"/>
                <w:sz w:val="18"/>
              </w:rPr>
              <w:t>N/A</w:t>
            </w:r>
          </w:p>
        </w:tc>
        <w:tc>
          <w:tcPr>
            <w:tcW w:type="dxa" w:w="2340"/>
            <w:shd w:fill="EAF6FC" w:color="auto" w:val="clear"/>
          </w:tcPr>
          <w:p>
            <w:pPr>
              <w:spacing w:before="80" w:after="80"/>
            </w:pPr>
            <w:r>
              <w:rPr>
                <w:rFonts w:ascii="Calibri" w:hAnsi="Calibri"/>
                <w:b w:val="0"/>
                <w:color w:val="333333"/>
                <w:sz w:val="18"/>
              </w:rPr>
              <w:t>+15–20%</w:t>
            </w:r>
          </w:p>
        </w:tc>
        <w:tc>
          <w:tcPr>
            <w:tcW w:type="dxa" w:w="2340"/>
            <w:shd w:fill="EAF6FC" w:color="auto" w:val="clear"/>
          </w:tcPr>
          <w:p>
            <w:pPr>
              <w:spacing w:before="80" w:after="80"/>
            </w:pPr>
            <w:r>
              <w:rPr>
                <w:rFonts w:ascii="Calibri" w:hAnsi="Calibri"/>
                <w:b w:val="0"/>
                <w:color w:val="333333"/>
                <w:sz w:val="18"/>
              </w:rPr>
              <w:t>+30–40%</w:t>
            </w:r>
          </w:p>
        </w:tc>
      </w:tr>
    </w:tbl>
    <w:p>
      <w:pPr>
        <w:spacing w:before="0" w:after="120"/>
      </w:pPr>
    </w:p>
    <w:p>
      <w:pPr>
        <w:shd w:fill="F5F5F5" w:color="auto" w:val="clear"/>
        <w:spacing w:before="200" w:after="40"/>
      </w:pPr>
      <w:r>
        <w:rPr>
          <w:rFonts w:ascii="Calibri" w:hAnsi="Calibri"/>
          <w:b/>
          <w:color w:val="58585A"/>
          <w:sz w:val="22"/>
        </w:rPr>
        <w:t xml:space="preserve">  Google Presence</w:t>
      </w:r>
    </w:p>
    <w:tbl>
      <w:tblPr>
        <w:tblW w:type="auto" w:w="0"/>
        <w:tblLook w:firstColumn="1" w:firstRow="1" w:lastColumn="0" w:lastRow="0" w:noHBand="0" w:noVBand="1" w:val="04A0"/>
        <w:tblBorders>
          <w:top w:val="none"/>
          <w:left w:val="none"/>
          <w:bottom w:val="none"/>
          <w:right w:val="none"/>
          <w:insideH w:val="none"/>
          <w:insideV w:val="none"/>
        </w:tblBorders>
      </w:tblPr>
      <w:tblGrid>
        <w:gridCol w:w="1337"/>
        <w:gridCol w:w="1337"/>
        <w:gridCol w:w="1337"/>
        <w:gridCol w:w="1337"/>
        <w:gridCol w:w="1337"/>
        <w:gridCol w:w="1337"/>
        <w:gridCol w:w="1337"/>
      </w:tblGrid>
      <w:tr>
        <w:tc>
          <w:tcPr>
            <w:tcW w:type="dxa" w:w="1337"/>
            <w:shd w:fill="1A2533" w:color="auto" w:val="clear"/>
          </w:tcPr>
          <w:p>
            <w:pPr>
              <w:spacing w:before="80" w:after="80"/>
            </w:pPr>
            <w:r>
              <w:rPr>
                <w:rFonts w:ascii="Calibri" w:hAnsi="Calibri"/>
                <w:b/>
                <w:color w:val="FFFFFF"/>
                <w:sz w:val="18"/>
              </w:rPr>
              <w:t>Metric</w:t>
            </w:r>
          </w:p>
        </w:tc>
        <w:tc>
          <w:tcPr>
            <w:tcW w:type="dxa" w:w="1337"/>
            <w:shd w:fill="1A2533" w:color="auto" w:val="clear"/>
          </w:tcPr>
          <w:p>
            <w:pPr>
              <w:spacing w:before="80" w:after="80"/>
            </w:pPr>
            <w:r>
              <w:rPr>
                <w:rFonts w:ascii="Calibri" w:hAnsi="Calibri"/>
                <w:b/>
                <w:color w:val="FFFFFF"/>
                <w:sz w:val="18"/>
              </w:rPr>
              <w:t>Current Baseline*</w:t>
            </w:r>
          </w:p>
        </w:tc>
        <w:tc>
          <w:tcPr>
            <w:tcW w:type="dxa" w:w="1337"/>
            <w:shd w:fill="1A2533" w:color="auto" w:val="clear"/>
          </w:tcPr>
          <w:p>
            <w:pPr>
              <w:spacing w:before="80" w:after="80"/>
            </w:pPr>
            <w:r>
              <w:rPr>
                <w:rFonts w:ascii="Calibri" w:hAnsi="Calibri"/>
                <w:b/>
                <w:color w:val="FFFFFF"/>
                <w:sz w:val="18"/>
              </w:rPr>
              <w:t>30 Days</w:t>
            </w:r>
          </w:p>
        </w:tc>
        <w:tc>
          <w:tcPr>
            <w:tcW w:type="dxa" w:w="1337"/>
            <w:shd w:fill="1A2533" w:color="auto" w:val="clear"/>
          </w:tcPr>
          <w:p>
            <w:pPr>
              <w:spacing w:before="80" w:after="80"/>
            </w:pPr>
            <w:r>
              <w:rPr>
                <w:rFonts w:ascii="Calibri" w:hAnsi="Calibri"/>
                <w:b/>
                <w:color w:val="FFFFFF"/>
                <w:sz w:val="18"/>
              </w:rPr>
              <w:t>60 Days</w:t>
            </w:r>
          </w:p>
        </w:tc>
        <w:tc>
          <w:tcPr>
            <w:tcW w:type="dxa" w:w="1337"/>
            <w:shd w:fill="1A2533" w:color="auto" w:val="clear"/>
          </w:tcPr>
          <w:p>
            <w:pPr>
              <w:spacing w:before="80" w:after="80"/>
            </w:pPr>
            <w:r>
              <w:rPr>
                <w:rFonts w:ascii="Calibri" w:hAnsi="Calibri"/>
                <w:b/>
                <w:color w:val="FFFFFF"/>
                <w:sz w:val="18"/>
              </w:rPr>
              <w:t>90 Days</w:t>
            </w:r>
          </w:p>
        </w:tc>
        <w:tc>
          <w:tcPr>
            <w:tcW w:type="dxa" w:w="1337"/>
            <w:shd w:fill="1A2533" w:color="auto" w:val="clear"/>
          </w:tcPr>
          <w:p>
            <w:pPr>
              <w:spacing w:before="80" w:after="80"/>
            </w:pPr>
            <w:r>
              <w:rPr>
                <w:rFonts w:ascii="Calibri" w:hAnsi="Calibri"/>
                <w:b/>
                <w:color w:val="FFFFFF"/>
                <w:sz w:val="18"/>
              </w:rPr>
              <w:t>6 Months</w:t>
            </w:r>
          </w:p>
        </w:tc>
        <w:tc>
          <w:tcPr>
            <w:tcW w:type="dxa" w:w="1337"/>
            <w:shd w:fill="1A2533" w:color="auto" w:val="clear"/>
          </w:tcPr>
          <w:p>
            <w:pPr>
              <w:spacing w:before="80" w:after="80"/>
            </w:pPr>
            <w:r>
              <w:rPr>
                <w:rFonts w:ascii="Calibri" w:hAnsi="Calibri"/>
                <w:b/>
                <w:color w:val="FFFFFF"/>
                <w:sz w:val="18"/>
              </w:rPr>
              <w:t>12 Months</w:t>
            </w:r>
          </w:p>
        </w:tc>
      </w:tr>
      <w:tr>
        <w:tc>
          <w:tcPr>
            <w:tcW w:type="dxa" w:w="1337"/>
            <w:shd w:fill="FFFFFF" w:color="auto" w:val="clear"/>
          </w:tcPr>
          <w:p>
            <w:pPr>
              <w:spacing w:before="80" w:after="80"/>
            </w:pPr>
            <w:r>
              <w:rPr>
                <w:rFonts w:ascii="Calibri" w:hAnsi="Calibri"/>
                <w:b w:val="0"/>
                <w:color w:val="333333"/>
                <w:sz w:val="18"/>
              </w:rPr>
              <w:t>Personal GBP reviews</w:t>
            </w:r>
          </w:p>
        </w:tc>
        <w:tc>
          <w:tcPr>
            <w:tcW w:type="dxa" w:w="1337"/>
            <w:shd w:fill="FFFFFF" w:color="auto" w:val="clear"/>
          </w:tcPr>
          <w:p>
            <w:pPr>
              <w:spacing w:before="80" w:after="80"/>
            </w:pPr>
            <w:r>
              <w:rPr>
                <w:rFonts w:ascii="Calibri" w:hAnsi="Calibri"/>
                <w:b w:val="0"/>
                <w:color w:val="333333"/>
                <w:sz w:val="18"/>
              </w:rPr>
              <w:t>Unknown (confirm)</w:t>
            </w:r>
          </w:p>
        </w:tc>
        <w:tc>
          <w:tcPr>
            <w:tcW w:type="dxa" w:w="1337"/>
            <w:shd w:fill="FFFFFF" w:color="auto" w:val="clear"/>
          </w:tcPr>
          <w:p>
            <w:pPr>
              <w:spacing w:before="80" w:after="80"/>
            </w:pPr>
            <w:r>
              <w:rPr>
                <w:rFonts w:ascii="Calibri" w:hAnsi="Calibri"/>
                <w:b w:val="0"/>
                <w:color w:val="333333"/>
                <w:sz w:val="18"/>
              </w:rPr>
              <w:t>10</w:t>
            </w:r>
          </w:p>
        </w:tc>
        <w:tc>
          <w:tcPr>
            <w:tcW w:type="dxa" w:w="1337"/>
            <w:shd w:fill="FFFFFF" w:color="auto" w:val="clear"/>
          </w:tcPr>
          <w:p>
            <w:pPr>
              <w:spacing w:before="80" w:after="80"/>
            </w:pPr>
            <w:r>
              <w:rPr>
                <w:rFonts w:ascii="Calibri" w:hAnsi="Calibri"/>
                <w:b w:val="0"/>
                <w:color w:val="333333"/>
                <w:sz w:val="18"/>
              </w:rPr>
              <w:t>25</w:t>
            </w:r>
          </w:p>
        </w:tc>
        <w:tc>
          <w:tcPr>
            <w:tcW w:type="dxa" w:w="1337"/>
            <w:shd w:fill="FFFFFF" w:color="auto" w:val="clear"/>
          </w:tcPr>
          <w:p>
            <w:pPr>
              <w:spacing w:before="80" w:after="80"/>
            </w:pPr>
            <w:r>
              <w:rPr>
                <w:rFonts w:ascii="Calibri" w:hAnsi="Calibri"/>
                <w:b w:val="0"/>
                <w:color w:val="333333"/>
                <w:sz w:val="18"/>
              </w:rPr>
              <w:t>35</w:t>
            </w:r>
          </w:p>
        </w:tc>
        <w:tc>
          <w:tcPr>
            <w:tcW w:type="dxa" w:w="1337"/>
            <w:shd w:fill="FFFFFF" w:color="auto" w:val="clear"/>
          </w:tcPr>
          <w:p>
            <w:pPr>
              <w:spacing w:before="80" w:after="80"/>
            </w:pPr>
            <w:r>
              <w:rPr>
                <w:rFonts w:ascii="Calibri" w:hAnsi="Calibri"/>
                <w:b w:val="0"/>
                <w:color w:val="333333"/>
                <w:sz w:val="18"/>
              </w:rPr>
              <w:t>45</w:t>
            </w:r>
          </w:p>
        </w:tc>
        <w:tc>
          <w:tcPr>
            <w:tcW w:type="dxa" w:w="1337"/>
            <w:shd w:fill="FFFFFF" w:color="auto" w:val="clear"/>
          </w:tcPr>
          <w:p>
            <w:pPr>
              <w:spacing w:before="80" w:after="80"/>
            </w:pPr>
            <w:r>
              <w:rPr>
                <w:rFonts w:ascii="Calibri" w:hAnsi="Calibri"/>
                <w:b w:val="0"/>
                <w:color w:val="333333"/>
                <w:sz w:val="18"/>
              </w:rPr>
              <w:t>55+</w:t>
            </w:r>
          </w:p>
        </w:tc>
      </w:tr>
      <w:tr>
        <w:tc>
          <w:tcPr>
            <w:tcW w:type="dxa" w:w="1337"/>
            <w:shd w:fill="EAF6FC" w:color="auto" w:val="clear"/>
          </w:tcPr>
          <w:p>
            <w:pPr>
              <w:spacing w:before="80" w:after="80"/>
            </w:pPr>
            <w:r>
              <w:rPr>
                <w:rFonts w:ascii="Calibri" w:hAnsi="Calibri"/>
                <w:b w:val="0"/>
                <w:color w:val="333333"/>
                <w:sz w:val="18"/>
              </w:rPr>
              <w:t>GBP average rating</w:t>
            </w:r>
          </w:p>
        </w:tc>
        <w:tc>
          <w:tcPr>
            <w:tcW w:type="dxa" w:w="1337"/>
            <w:shd w:fill="EAF6FC" w:color="auto" w:val="clear"/>
          </w:tcPr>
          <w:p>
            <w:pPr>
              <w:spacing w:before="80" w:after="80"/>
            </w:pPr>
            <w:r>
              <w:rPr>
                <w:rFonts w:ascii="Calibri" w:hAnsi="Calibri"/>
                <w:b w:val="0"/>
                <w:color w:val="333333"/>
                <w:sz w:val="18"/>
              </w:rPr>
              <w:t>Unknown (confirm)</w:t>
            </w:r>
          </w:p>
        </w:tc>
        <w:tc>
          <w:tcPr>
            <w:tcW w:type="dxa" w:w="1337"/>
            <w:shd w:fill="EAF6FC" w:color="auto" w:val="clear"/>
          </w:tcPr>
          <w:p>
            <w:pPr>
              <w:spacing w:before="80" w:after="80"/>
            </w:pPr>
            <w:r>
              <w:rPr>
                <w:rFonts w:ascii="Calibri" w:hAnsi="Calibri"/>
                <w:b w:val="0"/>
                <w:color w:val="333333"/>
                <w:sz w:val="18"/>
              </w:rPr>
              <w:t>4.8+</w:t>
            </w:r>
          </w:p>
        </w:tc>
        <w:tc>
          <w:tcPr>
            <w:tcW w:type="dxa" w:w="1337"/>
            <w:shd w:fill="EAF6FC" w:color="auto" w:val="clear"/>
          </w:tcPr>
          <w:p>
            <w:pPr>
              <w:spacing w:before="80" w:after="80"/>
            </w:pPr>
            <w:r>
              <w:rPr>
                <w:rFonts w:ascii="Calibri" w:hAnsi="Calibri"/>
                <w:b w:val="0"/>
                <w:color w:val="333333"/>
                <w:sz w:val="18"/>
              </w:rPr>
              <w:t>4.8+</w:t>
            </w:r>
          </w:p>
        </w:tc>
        <w:tc>
          <w:tcPr>
            <w:tcW w:type="dxa" w:w="1337"/>
            <w:shd w:fill="EAF6FC" w:color="auto" w:val="clear"/>
          </w:tcPr>
          <w:p>
            <w:pPr>
              <w:spacing w:before="80" w:after="80"/>
            </w:pPr>
            <w:r>
              <w:rPr>
                <w:rFonts w:ascii="Calibri" w:hAnsi="Calibri"/>
                <w:b w:val="0"/>
                <w:color w:val="333333"/>
                <w:sz w:val="18"/>
              </w:rPr>
              <w:t>4.8+</w:t>
            </w:r>
          </w:p>
        </w:tc>
        <w:tc>
          <w:tcPr>
            <w:tcW w:type="dxa" w:w="1337"/>
            <w:shd w:fill="EAF6FC" w:color="auto" w:val="clear"/>
          </w:tcPr>
          <w:p>
            <w:pPr>
              <w:spacing w:before="80" w:after="80"/>
            </w:pPr>
            <w:r>
              <w:rPr>
                <w:rFonts w:ascii="Calibri" w:hAnsi="Calibri"/>
                <w:b w:val="0"/>
                <w:color w:val="333333"/>
                <w:sz w:val="18"/>
              </w:rPr>
              <w:t>4.8+</w:t>
            </w:r>
          </w:p>
        </w:tc>
        <w:tc>
          <w:tcPr>
            <w:tcW w:type="dxa" w:w="1337"/>
            <w:shd w:fill="EAF6FC" w:color="auto" w:val="clear"/>
          </w:tcPr>
          <w:p>
            <w:pPr>
              <w:spacing w:before="80" w:after="80"/>
            </w:pPr>
            <w:r>
              <w:rPr>
                <w:rFonts w:ascii="Calibri" w:hAnsi="Calibri"/>
                <w:b w:val="0"/>
                <w:color w:val="333333"/>
                <w:sz w:val="18"/>
              </w:rPr>
              <w:t>4.9</w:t>
            </w:r>
          </w:p>
        </w:tc>
      </w:tr>
      <w:tr>
        <w:tc>
          <w:tcPr>
            <w:tcW w:type="dxa" w:w="1337"/>
            <w:shd w:fill="FFFFFF" w:color="auto" w:val="clear"/>
          </w:tcPr>
          <w:p>
            <w:pPr>
              <w:spacing w:before="80" w:after="80"/>
            </w:pPr>
            <w:r>
              <w:rPr>
                <w:rFonts w:ascii="Calibri" w:hAnsi="Calibri"/>
                <w:b w:val="0"/>
                <w:color w:val="333333"/>
                <w:sz w:val="18"/>
              </w:rPr>
              <w:t>GBP profile views/month</w:t>
            </w:r>
          </w:p>
        </w:tc>
        <w:tc>
          <w:tcPr>
            <w:tcW w:type="dxa" w:w="1337"/>
            <w:shd w:fill="FFFFFF" w:color="auto" w:val="clear"/>
          </w:tcPr>
          <w:p>
            <w:pPr>
              <w:spacing w:before="80" w:after="80"/>
            </w:pPr>
            <w:r>
              <w:rPr>
                <w:rFonts w:ascii="Calibri" w:hAnsi="Calibri"/>
                <w:b w:val="0"/>
                <w:color w:val="333333"/>
                <w:sz w:val="18"/>
              </w:rPr>
              <w:t>Minimal</w:t>
            </w:r>
          </w:p>
        </w:tc>
        <w:tc>
          <w:tcPr>
            <w:tcW w:type="dxa" w:w="1337"/>
            <w:shd w:fill="FFFFFF" w:color="auto" w:val="clear"/>
          </w:tcPr>
          <w:p>
            <w:pPr>
              <w:spacing w:before="80" w:after="80"/>
            </w:pPr>
            <w:r>
              <w:rPr>
                <w:rFonts w:ascii="Calibri" w:hAnsi="Calibri"/>
                <w:b w:val="0"/>
                <w:color w:val="333333"/>
                <w:sz w:val="18"/>
              </w:rPr>
              <w:t>50</w:t>
            </w:r>
          </w:p>
        </w:tc>
        <w:tc>
          <w:tcPr>
            <w:tcW w:type="dxa" w:w="1337"/>
            <w:shd w:fill="FFFFFF" w:color="auto" w:val="clear"/>
          </w:tcPr>
          <w:p>
            <w:pPr>
              <w:spacing w:before="80" w:after="80"/>
            </w:pPr>
            <w:r>
              <w:rPr>
                <w:rFonts w:ascii="Calibri" w:hAnsi="Calibri"/>
                <w:b w:val="0"/>
                <w:color w:val="333333"/>
                <w:sz w:val="18"/>
              </w:rPr>
              <w:t>150</w:t>
            </w:r>
          </w:p>
        </w:tc>
        <w:tc>
          <w:tcPr>
            <w:tcW w:type="dxa" w:w="1337"/>
            <w:shd w:fill="FFFFFF" w:color="auto" w:val="clear"/>
          </w:tcPr>
          <w:p>
            <w:pPr>
              <w:spacing w:before="80" w:after="80"/>
            </w:pPr>
            <w:r>
              <w:rPr>
                <w:rFonts w:ascii="Calibri" w:hAnsi="Calibri"/>
                <w:b w:val="0"/>
                <w:color w:val="333333"/>
                <w:sz w:val="18"/>
              </w:rPr>
              <w:t>300</w:t>
            </w:r>
          </w:p>
        </w:tc>
        <w:tc>
          <w:tcPr>
            <w:tcW w:type="dxa" w:w="1337"/>
            <w:shd w:fill="FFFFFF" w:color="auto" w:val="clear"/>
          </w:tcPr>
          <w:p>
            <w:pPr>
              <w:spacing w:before="80" w:after="80"/>
            </w:pPr>
            <w:r>
              <w:rPr>
                <w:rFonts w:ascii="Calibri" w:hAnsi="Calibri"/>
                <w:b w:val="0"/>
                <w:color w:val="333333"/>
                <w:sz w:val="18"/>
              </w:rPr>
              <w:t>500</w:t>
            </w:r>
          </w:p>
        </w:tc>
        <w:tc>
          <w:tcPr>
            <w:tcW w:type="dxa" w:w="1337"/>
            <w:shd w:fill="FFFFFF" w:color="auto" w:val="clear"/>
          </w:tcPr>
          <w:p>
            <w:pPr>
              <w:spacing w:before="80" w:after="80"/>
            </w:pPr>
            <w:r>
              <w:rPr>
                <w:rFonts w:ascii="Calibri" w:hAnsi="Calibri"/>
                <w:b w:val="0"/>
                <w:color w:val="333333"/>
                <w:sz w:val="18"/>
              </w:rPr>
              <w:t>700+</w:t>
            </w:r>
          </w:p>
        </w:tc>
      </w:tr>
    </w:tbl>
    <w:p>
      <w:pPr>
        <w:spacing w:before="0" w:after="120"/>
      </w:pPr>
    </w:p>
    <w:p>
      <w:pPr>
        <w:shd w:fill="F5F5F5" w:color="auto" w:val="clear"/>
        <w:spacing w:before="200" w:after="40"/>
      </w:pPr>
      <w:r>
        <w:rPr>
          <w:rFonts w:ascii="Calibri" w:hAnsi="Calibri"/>
          <w:b/>
          <w:color w:val="58585A"/>
          <w:sz w:val="22"/>
        </w:rPr>
        <w:t xml:space="preserve">  Organic Search Rankings — Target Keywords</w:t>
      </w:r>
    </w:p>
    <w:tbl>
      <w:tblPr>
        <w:tblW w:type="auto" w:w="0"/>
        <w:tblLook w:firstColumn="1" w:firstRow="1" w:lastColumn="0" w:lastRow="0" w:noHBand="0" w:noVBand="1" w:val="04A0"/>
        <w:tblBorders>
          <w:top w:val="none"/>
          <w:left w:val="none"/>
          <w:bottom w:val="none"/>
          <w:right w:val="none"/>
          <w:insideH w:val="none"/>
          <w:insideV w:val="none"/>
        </w:tblBorders>
      </w:tblPr>
      <w:tblGrid>
        <w:gridCol w:w="1872"/>
        <w:gridCol w:w="1872"/>
        <w:gridCol w:w="1872"/>
        <w:gridCol w:w="1872"/>
        <w:gridCol w:w="1872"/>
      </w:tblGrid>
      <w:tr>
        <w:tc>
          <w:tcPr>
            <w:tcW w:type="dxa" w:w="1872"/>
            <w:shd w:fill="1A2533" w:color="auto" w:val="clear"/>
          </w:tcPr>
          <w:p>
            <w:pPr>
              <w:spacing w:before="80" w:after="80"/>
            </w:pPr>
            <w:r>
              <w:rPr>
                <w:rFonts w:ascii="Calibri" w:hAnsi="Calibri"/>
                <w:b/>
                <w:color w:val="FFFFFF"/>
                <w:sz w:val="18"/>
              </w:rPr>
              <w:t>Keyword</w:t>
            </w:r>
          </w:p>
        </w:tc>
        <w:tc>
          <w:tcPr>
            <w:tcW w:type="dxa" w:w="1872"/>
            <w:shd w:fill="1A2533" w:color="auto" w:val="clear"/>
          </w:tcPr>
          <w:p>
            <w:pPr>
              <w:spacing w:before="80" w:after="80"/>
            </w:pPr>
            <w:r>
              <w:rPr>
                <w:rFonts w:ascii="Calibri" w:hAnsi="Calibri"/>
                <w:b/>
                <w:color w:val="FFFFFF"/>
                <w:sz w:val="18"/>
              </w:rPr>
              <w:t>Current Rank*</w:t>
            </w:r>
          </w:p>
        </w:tc>
        <w:tc>
          <w:tcPr>
            <w:tcW w:type="dxa" w:w="1872"/>
            <w:shd w:fill="1A2533" w:color="auto" w:val="clear"/>
          </w:tcPr>
          <w:p>
            <w:pPr>
              <w:spacing w:before="80" w:after="80"/>
            </w:pPr>
            <w:r>
              <w:rPr>
                <w:rFonts w:ascii="Calibri" w:hAnsi="Calibri"/>
                <w:b/>
                <w:color w:val="FFFFFF"/>
                <w:sz w:val="18"/>
              </w:rPr>
              <w:t>Target 90 Days</w:t>
            </w:r>
          </w:p>
        </w:tc>
        <w:tc>
          <w:tcPr>
            <w:tcW w:type="dxa" w:w="1872"/>
            <w:shd w:fill="1A2533" w:color="auto" w:val="clear"/>
          </w:tcPr>
          <w:p>
            <w:pPr>
              <w:spacing w:before="80" w:after="80"/>
            </w:pPr>
            <w:r>
              <w:rPr>
                <w:rFonts w:ascii="Calibri" w:hAnsi="Calibri"/>
                <w:b/>
                <w:color w:val="FFFFFF"/>
                <w:sz w:val="18"/>
              </w:rPr>
              <w:t>Target 6 Months</w:t>
            </w:r>
          </w:p>
        </w:tc>
        <w:tc>
          <w:tcPr>
            <w:tcW w:type="dxa" w:w="1872"/>
            <w:shd w:fill="1A2533" w:color="auto" w:val="clear"/>
          </w:tcPr>
          <w:p>
            <w:pPr>
              <w:spacing w:before="80" w:after="80"/>
            </w:pPr>
            <w:r>
              <w:rPr>
                <w:rFonts w:ascii="Calibri" w:hAnsi="Calibri"/>
                <w:b/>
                <w:color w:val="FFFFFF"/>
                <w:sz w:val="18"/>
              </w:rPr>
              <w:t>Target 12 Months</w:t>
            </w:r>
          </w:p>
        </w:tc>
      </w:tr>
      <w:tr>
        <w:tc>
          <w:tcPr>
            <w:tcW w:type="dxa" w:w="1872"/>
            <w:shd w:fill="FFFFFF" w:color="auto" w:val="clear"/>
          </w:tcPr>
          <w:p>
            <w:pPr>
              <w:spacing w:before="80" w:after="80"/>
            </w:pPr>
            <w:r>
              <w:rPr>
                <w:rFonts w:ascii="Calibri" w:hAnsi="Calibri"/>
                <w:b w:val="0"/>
                <w:color w:val="333333"/>
                <w:sz w:val="18"/>
              </w:rPr>
              <w:t>"high-asset divorce attorney Louisville"</w:t>
            </w:r>
          </w:p>
        </w:tc>
        <w:tc>
          <w:tcPr>
            <w:tcW w:type="dxa" w:w="1872"/>
            <w:shd w:fill="FFFFFF" w:color="auto" w:val="clear"/>
          </w:tcPr>
          <w:p>
            <w:pPr>
              <w:spacing w:before="80" w:after="80"/>
            </w:pPr>
            <w:r>
              <w:rPr>
                <w:rFonts w:ascii="Calibri" w:hAnsi="Calibri"/>
                <w:b w:val="0"/>
                <w:color w:val="333333"/>
                <w:sz w:val="18"/>
              </w:rPr>
              <w:t>Unranked*</w:t>
            </w:r>
          </w:p>
        </w:tc>
        <w:tc>
          <w:tcPr>
            <w:tcW w:type="dxa" w:w="1872"/>
            <w:shd w:fill="FFFFFF" w:color="auto" w:val="clear"/>
          </w:tcPr>
          <w:p>
            <w:pPr>
              <w:spacing w:before="80" w:after="80"/>
            </w:pPr>
            <w:r>
              <w:rPr>
                <w:rFonts w:ascii="Calibri" w:hAnsi="Calibri"/>
                <w:b w:val="0"/>
                <w:color w:val="333333"/>
                <w:sz w:val="18"/>
              </w:rPr>
              <w:t>Page 2</w:t>
            </w:r>
          </w:p>
        </w:tc>
        <w:tc>
          <w:tcPr>
            <w:tcW w:type="dxa" w:w="1872"/>
            <w:shd w:fill="FFFFFF" w:color="auto" w:val="clear"/>
          </w:tcPr>
          <w:p>
            <w:pPr>
              <w:spacing w:before="80" w:after="80"/>
            </w:pPr>
            <w:r>
              <w:rPr>
                <w:rFonts w:ascii="Calibri" w:hAnsi="Calibri"/>
                <w:b w:val="0"/>
                <w:color w:val="333333"/>
                <w:sz w:val="18"/>
              </w:rPr>
              <w:t>Page 1</w:t>
            </w:r>
          </w:p>
        </w:tc>
        <w:tc>
          <w:tcPr>
            <w:tcW w:type="dxa" w:w="1872"/>
            <w:shd w:fill="FFFFFF" w:color="auto" w:val="clear"/>
          </w:tcPr>
          <w:p>
            <w:pPr>
              <w:spacing w:before="80" w:after="80"/>
            </w:pPr>
            <w:r>
              <w:rPr>
                <w:rFonts w:ascii="Calibri" w:hAnsi="Calibri"/>
                <w:b w:val="0"/>
                <w:color w:val="333333"/>
                <w:sz w:val="18"/>
              </w:rPr>
              <w:t>Top 5</w:t>
            </w:r>
          </w:p>
        </w:tc>
      </w:tr>
      <w:tr>
        <w:tc>
          <w:tcPr>
            <w:tcW w:type="dxa" w:w="1872"/>
            <w:shd w:fill="EAF6FC" w:color="auto" w:val="clear"/>
          </w:tcPr>
          <w:p>
            <w:pPr>
              <w:spacing w:before="80" w:after="80"/>
            </w:pPr>
            <w:r>
              <w:rPr>
                <w:rFonts w:ascii="Calibri" w:hAnsi="Calibri"/>
                <w:b w:val="0"/>
                <w:color w:val="333333"/>
                <w:sz w:val="18"/>
              </w:rPr>
              <w:t>"business valuation divorce attorney Louisville"</w:t>
            </w:r>
          </w:p>
        </w:tc>
        <w:tc>
          <w:tcPr>
            <w:tcW w:type="dxa" w:w="1872"/>
            <w:shd w:fill="EAF6FC" w:color="auto" w:val="clear"/>
          </w:tcPr>
          <w:p>
            <w:pPr>
              <w:spacing w:before="80" w:after="80"/>
            </w:pPr>
            <w:r>
              <w:rPr>
                <w:rFonts w:ascii="Calibri" w:hAnsi="Calibri"/>
                <w:b w:val="0"/>
                <w:color w:val="333333"/>
                <w:sz w:val="18"/>
              </w:rPr>
              <w:t>Unranked*</w:t>
            </w:r>
          </w:p>
        </w:tc>
        <w:tc>
          <w:tcPr>
            <w:tcW w:type="dxa" w:w="1872"/>
            <w:shd w:fill="EAF6FC" w:color="auto" w:val="clear"/>
          </w:tcPr>
          <w:p>
            <w:pPr>
              <w:spacing w:before="80" w:after="80"/>
            </w:pPr>
            <w:r>
              <w:rPr>
                <w:rFonts w:ascii="Calibri" w:hAnsi="Calibri"/>
                <w:b w:val="0"/>
                <w:color w:val="333333"/>
                <w:sz w:val="18"/>
              </w:rPr>
              <w:t>Page 1</w:t>
            </w:r>
          </w:p>
        </w:tc>
        <w:tc>
          <w:tcPr>
            <w:tcW w:type="dxa" w:w="1872"/>
            <w:shd w:fill="EAF6FC" w:color="auto" w:val="clear"/>
          </w:tcPr>
          <w:p>
            <w:pPr>
              <w:spacing w:before="80" w:after="80"/>
            </w:pPr>
            <w:r>
              <w:rPr>
                <w:rFonts w:ascii="Calibri" w:hAnsi="Calibri"/>
                <w:b w:val="0"/>
                <w:color w:val="333333"/>
                <w:sz w:val="18"/>
              </w:rPr>
              <w:t>Top 3</w:t>
            </w:r>
          </w:p>
        </w:tc>
        <w:tc>
          <w:tcPr>
            <w:tcW w:type="dxa" w:w="1872"/>
            <w:shd w:fill="EAF6FC" w:color="auto" w:val="clear"/>
          </w:tcPr>
          <w:p>
            <w:pPr>
              <w:spacing w:before="80" w:after="80"/>
            </w:pPr>
            <w:r>
              <w:rPr>
                <w:rFonts w:ascii="Calibri" w:hAnsi="Calibri"/>
                <w:b w:val="0"/>
                <w:color w:val="333333"/>
                <w:sz w:val="18"/>
              </w:rPr>
              <w:t>Top 3</w:t>
            </w:r>
          </w:p>
        </w:tc>
      </w:tr>
      <w:tr>
        <w:tc>
          <w:tcPr>
            <w:tcW w:type="dxa" w:w="1872"/>
            <w:shd w:fill="FFFFFF" w:color="auto" w:val="clear"/>
          </w:tcPr>
          <w:p>
            <w:pPr>
              <w:spacing w:before="80" w:after="80"/>
            </w:pPr>
            <w:r>
              <w:rPr>
                <w:rFonts w:ascii="Calibri" w:hAnsi="Calibri"/>
                <w:b w:val="0"/>
                <w:color w:val="333333"/>
                <w:sz w:val="18"/>
              </w:rPr>
              <w:t>"family law attorney Louisville Kentucky"</w:t>
            </w:r>
          </w:p>
        </w:tc>
        <w:tc>
          <w:tcPr>
            <w:tcW w:type="dxa" w:w="1872"/>
            <w:shd w:fill="FFFFFF" w:color="auto" w:val="clear"/>
          </w:tcPr>
          <w:p>
            <w:pPr>
              <w:spacing w:before="80" w:after="80"/>
            </w:pPr>
            <w:r>
              <w:rPr>
                <w:rFonts w:ascii="Calibri" w:hAnsi="Calibri"/>
                <w:b w:val="0"/>
                <w:color w:val="333333"/>
                <w:sz w:val="18"/>
              </w:rPr>
              <w:t>Unranked*</w:t>
            </w:r>
          </w:p>
        </w:tc>
        <w:tc>
          <w:tcPr>
            <w:tcW w:type="dxa" w:w="1872"/>
            <w:shd w:fill="FFFFFF" w:color="auto" w:val="clear"/>
          </w:tcPr>
          <w:p>
            <w:pPr>
              <w:spacing w:before="80" w:after="80"/>
            </w:pPr>
            <w:r>
              <w:rPr>
                <w:rFonts w:ascii="Calibri" w:hAnsi="Calibri"/>
                <w:b w:val="0"/>
                <w:color w:val="333333"/>
                <w:sz w:val="18"/>
              </w:rPr>
              <w:t>Page 2</w:t>
            </w:r>
          </w:p>
        </w:tc>
        <w:tc>
          <w:tcPr>
            <w:tcW w:type="dxa" w:w="1872"/>
            <w:shd w:fill="FFFFFF" w:color="auto" w:val="clear"/>
          </w:tcPr>
          <w:p>
            <w:pPr>
              <w:spacing w:before="80" w:after="80"/>
            </w:pPr>
            <w:r>
              <w:rPr>
                <w:rFonts w:ascii="Calibri" w:hAnsi="Calibri"/>
                <w:b w:val="0"/>
                <w:color w:val="333333"/>
                <w:sz w:val="18"/>
              </w:rPr>
              <w:t>Page 1–2</w:t>
            </w:r>
          </w:p>
        </w:tc>
        <w:tc>
          <w:tcPr>
            <w:tcW w:type="dxa" w:w="1872"/>
            <w:shd w:fill="FFFFFF" w:color="auto" w:val="clear"/>
          </w:tcPr>
          <w:p>
            <w:pPr>
              <w:spacing w:before="80" w:after="80"/>
            </w:pPr>
            <w:r>
              <w:rPr>
                <w:rFonts w:ascii="Calibri" w:hAnsi="Calibri"/>
                <w:b w:val="0"/>
                <w:color w:val="333333"/>
                <w:sz w:val="18"/>
              </w:rPr>
              <w:t>Page 1</w:t>
            </w:r>
          </w:p>
        </w:tc>
      </w:tr>
      <w:tr>
        <w:tc>
          <w:tcPr>
            <w:tcW w:type="dxa" w:w="1872"/>
            <w:shd w:fill="EAF6FC" w:color="auto" w:val="clear"/>
          </w:tcPr>
          <w:p>
            <w:pPr>
              <w:spacing w:before="80" w:after="80"/>
            </w:pPr>
            <w:r>
              <w:rPr>
                <w:rFonts w:ascii="Calibri" w:hAnsi="Calibri"/>
                <w:b w:val="0"/>
                <w:color w:val="333333"/>
                <w:sz w:val="18"/>
              </w:rPr>
              <w:t>"divorce attorney Jeffersonville Indiana"</w:t>
            </w:r>
          </w:p>
        </w:tc>
        <w:tc>
          <w:tcPr>
            <w:tcW w:type="dxa" w:w="1872"/>
            <w:shd w:fill="EAF6FC" w:color="auto" w:val="clear"/>
          </w:tcPr>
          <w:p>
            <w:pPr>
              <w:spacing w:before="80" w:after="80"/>
            </w:pPr>
            <w:r>
              <w:rPr>
                <w:rFonts w:ascii="Calibri" w:hAnsi="Calibri"/>
                <w:b w:val="0"/>
                <w:color w:val="333333"/>
                <w:sz w:val="18"/>
              </w:rPr>
              <w:t>Unranked*</w:t>
            </w:r>
          </w:p>
        </w:tc>
        <w:tc>
          <w:tcPr>
            <w:tcW w:type="dxa" w:w="1872"/>
            <w:shd w:fill="EAF6FC" w:color="auto" w:val="clear"/>
          </w:tcPr>
          <w:p>
            <w:pPr>
              <w:spacing w:before="80" w:after="80"/>
            </w:pPr>
            <w:r>
              <w:rPr>
                <w:rFonts w:ascii="Calibri" w:hAnsi="Calibri"/>
                <w:b w:val="0"/>
                <w:color w:val="333333"/>
                <w:sz w:val="18"/>
              </w:rPr>
              <w:t>Page 1</w:t>
            </w:r>
          </w:p>
        </w:tc>
        <w:tc>
          <w:tcPr>
            <w:tcW w:type="dxa" w:w="1872"/>
            <w:shd w:fill="EAF6FC" w:color="auto" w:val="clear"/>
          </w:tcPr>
          <w:p>
            <w:pPr>
              <w:spacing w:before="80" w:after="80"/>
            </w:pPr>
            <w:r>
              <w:rPr>
                <w:rFonts w:ascii="Calibri" w:hAnsi="Calibri"/>
                <w:b w:val="0"/>
                <w:color w:val="333333"/>
                <w:sz w:val="18"/>
              </w:rPr>
              <w:t>Top 3</w:t>
            </w:r>
          </w:p>
        </w:tc>
        <w:tc>
          <w:tcPr>
            <w:tcW w:type="dxa" w:w="1872"/>
            <w:shd w:fill="EAF6FC" w:color="auto" w:val="clear"/>
          </w:tcPr>
          <w:p>
            <w:pPr>
              <w:spacing w:before="80" w:after="80"/>
            </w:pPr>
            <w:r>
              <w:rPr>
                <w:rFonts w:ascii="Calibri" w:hAnsi="Calibri"/>
                <w:b w:val="0"/>
                <w:color w:val="333333"/>
                <w:sz w:val="18"/>
              </w:rPr>
              <w:t>Top 3</w:t>
            </w:r>
          </w:p>
        </w:tc>
      </w:tr>
      <w:tr>
        <w:tc>
          <w:tcPr>
            <w:tcW w:type="dxa" w:w="1872"/>
            <w:shd w:fill="FFFFFF" w:color="auto" w:val="clear"/>
          </w:tcPr>
          <w:p>
            <w:pPr>
              <w:spacing w:before="80" w:after="80"/>
            </w:pPr>
            <w:r>
              <w:rPr>
                <w:rFonts w:ascii="Calibri" w:hAnsi="Calibri"/>
                <w:b w:val="0"/>
                <w:color w:val="333333"/>
                <w:sz w:val="18"/>
              </w:rPr>
              <w:t>"AAML attorney Louisville"</w:t>
            </w:r>
          </w:p>
        </w:tc>
        <w:tc>
          <w:tcPr>
            <w:tcW w:type="dxa" w:w="1872"/>
            <w:shd w:fill="FFFFFF" w:color="auto" w:val="clear"/>
          </w:tcPr>
          <w:p>
            <w:pPr>
              <w:spacing w:before="80" w:after="80"/>
            </w:pPr>
            <w:r>
              <w:rPr>
                <w:rFonts w:ascii="Calibri" w:hAnsi="Calibri"/>
                <w:b w:val="0"/>
                <w:color w:val="333333"/>
                <w:sz w:val="18"/>
              </w:rPr>
              <w:t>Unranked*</w:t>
            </w:r>
          </w:p>
        </w:tc>
        <w:tc>
          <w:tcPr>
            <w:tcW w:type="dxa" w:w="1872"/>
            <w:shd w:fill="FFFFFF" w:color="auto" w:val="clear"/>
          </w:tcPr>
          <w:p>
            <w:pPr>
              <w:spacing w:before="80" w:after="80"/>
            </w:pPr>
            <w:r>
              <w:rPr>
                <w:rFonts w:ascii="Calibri" w:hAnsi="Calibri"/>
                <w:b w:val="0"/>
                <w:color w:val="333333"/>
                <w:sz w:val="18"/>
              </w:rPr>
              <w:t>Page 1</w:t>
            </w:r>
          </w:p>
        </w:tc>
        <w:tc>
          <w:tcPr>
            <w:tcW w:type="dxa" w:w="1872"/>
            <w:shd w:fill="FFFFFF" w:color="auto" w:val="clear"/>
          </w:tcPr>
          <w:p>
            <w:pPr>
              <w:spacing w:before="80" w:after="80"/>
            </w:pPr>
            <w:r>
              <w:rPr>
                <w:rFonts w:ascii="Calibri" w:hAnsi="Calibri"/>
                <w:b w:val="0"/>
                <w:color w:val="333333"/>
                <w:sz w:val="18"/>
              </w:rPr>
              <w:t>Top 1–3</w:t>
            </w:r>
          </w:p>
        </w:tc>
        <w:tc>
          <w:tcPr>
            <w:tcW w:type="dxa" w:w="1872"/>
            <w:shd w:fill="FFFFFF" w:color="auto" w:val="clear"/>
          </w:tcPr>
          <w:p>
            <w:pPr>
              <w:spacing w:before="80" w:after="80"/>
            </w:pPr>
            <w:r>
              <w:rPr>
                <w:rFonts w:ascii="Calibri" w:hAnsi="Calibri"/>
                <w:b w:val="0"/>
                <w:color w:val="333333"/>
                <w:sz w:val="18"/>
              </w:rPr>
              <w:t>#1</w:t>
            </w:r>
          </w:p>
        </w:tc>
      </w:tr>
      <w:tr>
        <w:tc>
          <w:tcPr>
            <w:tcW w:type="dxa" w:w="1872"/>
            <w:shd w:fill="EAF6FC" w:color="auto" w:val="clear"/>
          </w:tcPr>
          <w:p>
            <w:pPr>
              <w:spacing w:before="80" w:after="80"/>
            </w:pPr>
            <w:r>
              <w:rPr>
                <w:rFonts w:ascii="Calibri" w:hAnsi="Calibri"/>
                <w:b w:val="0"/>
                <w:color w:val="333333"/>
                <w:sz w:val="18"/>
              </w:rPr>
              <w:t>"forensic accounting divorce attorney Louisville"</w:t>
            </w:r>
          </w:p>
        </w:tc>
        <w:tc>
          <w:tcPr>
            <w:tcW w:type="dxa" w:w="1872"/>
            <w:shd w:fill="EAF6FC" w:color="auto" w:val="clear"/>
          </w:tcPr>
          <w:p>
            <w:pPr>
              <w:spacing w:before="80" w:after="80"/>
            </w:pPr>
            <w:r>
              <w:rPr>
                <w:rFonts w:ascii="Calibri" w:hAnsi="Calibri"/>
                <w:b w:val="0"/>
                <w:color w:val="333333"/>
                <w:sz w:val="18"/>
              </w:rPr>
              <w:t>Unranked*</w:t>
            </w:r>
          </w:p>
        </w:tc>
        <w:tc>
          <w:tcPr>
            <w:tcW w:type="dxa" w:w="1872"/>
            <w:shd w:fill="EAF6FC" w:color="auto" w:val="clear"/>
          </w:tcPr>
          <w:p>
            <w:pPr>
              <w:spacing w:before="80" w:after="80"/>
            </w:pPr>
            <w:r>
              <w:rPr>
                <w:rFonts w:ascii="Calibri" w:hAnsi="Calibri"/>
                <w:b w:val="0"/>
                <w:color w:val="333333"/>
                <w:sz w:val="18"/>
              </w:rPr>
              <w:t>Page 1</w:t>
            </w:r>
          </w:p>
        </w:tc>
        <w:tc>
          <w:tcPr>
            <w:tcW w:type="dxa" w:w="1872"/>
            <w:shd w:fill="EAF6FC" w:color="auto" w:val="clear"/>
          </w:tcPr>
          <w:p>
            <w:pPr>
              <w:spacing w:before="80" w:after="80"/>
            </w:pPr>
            <w:r>
              <w:rPr>
                <w:rFonts w:ascii="Calibri" w:hAnsi="Calibri"/>
                <w:b w:val="0"/>
                <w:color w:val="333333"/>
                <w:sz w:val="18"/>
              </w:rPr>
              <w:t>Top 3</w:t>
            </w:r>
          </w:p>
        </w:tc>
        <w:tc>
          <w:tcPr>
            <w:tcW w:type="dxa" w:w="1872"/>
            <w:shd w:fill="EAF6FC" w:color="auto" w:val="clear"/>
          </w:tcPr>
          <w:p>
            <w:pPr>
              <w:spacing w:before="80" w:after="80"/>
            </w:pPr>
            <w:r>
              <w:rPr>
                <w:rFonts w:ascii="Calibri" w:hAnsi="Calibri"/>
                <w:b w:val="0"/>
                <w:color w:val="333333"/>
                <w:sz w:val="18"/>
              </w:rPr>
              <w:t>Top 3</w:t>
            </w:r>
          </w:p>
        </w:tc>
      </w:tr>
      <w:tr>
        <w:tc>
          <w:tcPr>
            <w:tcW w:type="dxa" w:w="1872"/>
            <w:shd w:fill="FFFFFF" w:color="auto" w:val="clear"/>
          </w:tcPr>
          <w:p>
            <w:pPr>
              <w:spacing w:before="80" w:after="80"/>
            </w:pPr>
            <w:r>
              <w:rPr>
                <w:rFonts w:ascii="Calibri" w:hAnsi="Calibri"/>
                <w:b w:val="0"/>
                <w:color w:val="333333"/>
                <w:sz w:val="18"/>
              </w:rPr>
              <w:t>"father's rights attorney Louisville"</w:t>
            </w:r>
          </w:p>
        </w:tc>
        <w:tc>
          <w:tcPr>
            <w:tcW w:type="dxa" w:w="1872"/>
            <w:shd w:fill="FFFFFF" w:color="auto" w:val="clear"/>
          </w:tcPr>
          <w:p>
            <w:pPr>
              <w:spacing w:before="80" w:after="80"/>
            </w:pPr>
            <w:r>
              <w:rPr>
                <w:rFonts w:ascii="Calibri" w:hAnsi="Calibri"/>
                <w:b w:val="0"/>
                <w:color w:val="333333"/>
                <w:sz w:val="18"/>
              </w:rPr>
              <w:t>Unranked*</w:t>
            </w:r>
          </w:p>
        </w:tc>
        <w:tc>
          <w:tcPr>
            <w:tcW w:type="dxa" w:w="1872"/>
            <w:shd w:fill="FFFFFF" w:color="auto" w:val="clear"/>
          </w:tcPr>
          <w:p>
            <w:pPr>
              <w:spacing w:before="80" w:after="80"/>
            </w:pPr>
            <w:r>
              <w:rPr>
                <w:rFonts w:ascii="Calibri" w:hAnsi="Calibri"/>
                <w:b w:val="0"/>
                <w:color w:val="333333"/>
                <w:sz w:val="18"/>
              </w:rPr>
              <w:t>Page 2</w:t>
            </w:r>
          </w:p>
        </w:tc>
        <w:tc>
          <w:tcPr>
            <w:tcW w:type="dxa" w:w="1872"/>
            <w:shd w:fill="FFFFFF" w:color="auto" w:val="clear"/>
          </w:tcPr>
          <w:p>
            <w:pPr>
              <w:spacing w:before="80" w:after="80"/>
            </w:pPr>
            <w:r>
              <w:rPr>
                <w:rFonts w:ascii="Calibri" w:hAnsi="Calibri"/>
                <w:b w:val="0"/>
                <w:color w:val="333333"/>
                <w:sz w:val="18"/>
              </w:rPr>
              <w:t>Page 1</w:t>
            </w:r>
          </w:p>
        </w:tc>
        <w:tc>
          <w:tcPr>
            <w:tcW w:type="dxa" w:w="1872"/>
            <w:shd w:fill="FFFFFF" w:color="auto" w:val="clear"/>
          </w:tcPr>
          <w:p>
            <w:pPr>
              <w:spacing w:before="80" w:after="80"/>
            </w:pPr>
            <w:r>
              <w:rPr>
                <w:rFonts w:ascii="Calibri" w:hAnsi="Calibri"/>
                <w:b w:val="0"/>
                <w:color w:val="333333"/>
                <w:sz w:val="18"/>
              </w:rPr>
              <w:t>Top 5</w:t>
            </w:r>
          </w:p>
        </w:tc>
      </w:tr>
    </w:tbl>
    <w:p>
      <w:pPr>
        <w:spacing w:before="0" w:after="120"/>
      </w:pPr>
    </w:p>
    <w:p>
      <w:pPr>
        <w:shd w:fill="F5F5F5" w:color="auto" w:val="clear"/>
        <w:spacing w:before="200" w:after="40"/>
      </w:pPr>
      <w:r>
        <w:rPr>
          <w:rFonts w:ascii="Calibri" w:hAnsi="Calibri"/>
          <w:b/>
          <w:color w:val="58585A"/>
          <w:sz w:val="22"/>
        </w:rPr>
        <w:t xml:space="preserve">  LinkedIn Metrics</w:t>
      </w:r>
    </w:p>
    <w:tbl>
      <w:tblPr>
        <w:tblW w:type="auto" w:w="0"/>
        <w:tblLook w:firstColumn="1" w:firstRow="1" w:lastColumn="0" w:lastRow="0" w:noHBand="0" w:noVBand="1" w:val="04A0"/>
        <w:tblBorders>
          <w:top w:val="none"/>
          <w:left w:val="none"/>
          <w:bottom w:val="none"/>
          <w:right w:val="none"/>
          <w:insideH w:val="none"/>
          <w:insideV w:val="none"/>
        </w:tblBorders>
      </w:tblPr>
      <w:tblGrid>
        <w:gridCol w:w="1337"/>
        <w:gridCol w:w="1337"/>
        <w:gridCol w:w="1337"/>
        <w:gridCol w:w="1337"/>
        <w:gridCol w:w="1337"/>
        <w:gridCol w:w="1337"/>
        <w:gridCol w:w="1337"/>
      </w:tblGrid>
      <w:tr>
        <w:tc>
          <w:tcPr>
            <w:tcW w:type="dxa" w:w="1337"/>
            <w:shd w:fill="1A2533" w:color="auto" w:val="clear"/>
          </w:tcPr>
          <w:p>
            <w:pPr>
              <w:spacing w:before="80" w:after="80"/>
            </w:pPr>
            <w:r>
              <w:rPr>
                <w:rFonts w:ascii="Calibri" w:hAnsi="Calibri"/>
                <w:b/>
                <w:color w:val="FFFFFF"/>
                <w:sz w:val="18"/>
              </w:rPr>
              <w:t>Metric</w:t>
            </w:r>
          </w:p>
        </w:tc>
        <w:tc>
          <w:tcPr>
            <w:tcW w:type="dxa" w:w="1337"/>
            <w:shd w:fill="1A2533" w:color="auto" w:val="clear"/>
          </w:tcPr>
          <w:p>
            <w:pPr>
              <w:spacing w:before="80" w:after="80"/>
            </w:pPr>
            <w:r>
              <w:rPr>
                <w:rFonts w:ascii="Calibri" w:hAnsi="Calibri"/>
                <w:b/>
                <w:color w:val="FFFFFF"/>
                <w:sz w:val="18"/>
              </w:rPr>
              <w:t>Current*</w:t>
            </w:r>
          </w:p>
        </w:tc>
        <w:tc>
          <w:tcPr>
            <w:tcW w:type="dxa" w:w="1337"/>
            <w:shd w:fill="1A2533" w:color="auto" w:val="clear"/>
          </w:tcPr>
          <w:p>
            <w:pPr>
              <w:spacing w:before="80" w:after="80"/>
            </w:pPr>
            <w:r>
              <w:rPr>
                <w:rFonts w:ascii="Calibri" w:hAnsi="Calibri"/>
                <w:b/>
                <w:color w:val="FFFFFF"/>
                <w:sz w:val="18"/>
              </w:rPr>
              <w:t>30 Days</w:t>
            </w:r>
          </w:p>
        </w:tc>
        <w:tc>
          <w:tcPr>
            <w:tcW w:type="dxa" w:w="1337"/>
            <w:shd w:fill="1A2533" w:color="auto" w:val="clear"/>
          </w:tcPr>
          <w:p>
            <w:pPr>
              <w:spacing w:before="80" w:after="80"/>
            </w:pPr>
            <w:r>
              <w:rPr>
                <w:rFonts w:ascii="Calibri" w:hAnsi="Calibri"/>
                <w:b/>
                <w:color w:val="FFFFFF"/>
                <w:sz w:val="18"/>
              </w:rPr>
              <w:t>60 Days</w:t>
            </w:r>
          </w:p>
        </w:tc>
        <w:tc>
          <w:tcPr>
            <w:tcW w:type="dxa" w:w="1337"/>
            <w:shd w:fill="1A2533" w:color="auto" w:val="clear"/>
          </w:tcPr>
          <w:p>
            <w:pPr>
              <w:spacing w:before="80" w:after="80"/>
            </w:pPr>
            <w:r>
              <w:rPr>
                <w:rFonts w:ascii="Calibri" w:hAnsi="Calibri"/>
                <w:b/>
                <w:color w:val="FFFFFF"/>
                <w:sz w:val="18"/>
              </w:rPr>
              <w:t>90 Days</w:t>
            </w:r>
          </w:p>
        </w:tc>
        <w:tc>
          <w:tcPr>
            <w:tcW w:type="dxa" w:w="1337"/>
            <w:shd w:fill="1A2533" w:color="auto" w:val="clear"/>
          </w:tcPr>
          <w:p>
            <w:pPr>
              <w:spacing w:before="80" w:after="80"/>
            </w:pPr>
            <w:r>
              <w:rPr>
                <w:rFonts w:ascii="Calibri" w:hAnsi="Calibri"/>
                <w:b/>
                <w:color w:val="FFFFFF"/>
                <w:sz w:val="18"/>
              </w:rPr>
              <w:t>6 Months</w:t>
            </w:r>
          </w:p>
        </w:tc>
        <w:tc>
          <w:tcPr>
            <w:tcW w:type="dxa" w:w="1337"/>
            <w:shd w:fill="1A2533" w:color="auto" w:val="clear"/>
          </w:tcPr>
          <w:p>
            <w:pPr>
              <w:spacing w:before="80" w:after="80"/>
            </w:pPr>
            <w:r>
              <w:rPr>
                <w:rFonts w:ascii="Calibri" w:hAnsi="Calibri"/>
                <w:b/>
                <w:color w:val="FFFFFF"/>
                <w:sz w:val="18"/>
              </w:rPr>
              <w:t>12 Months</w:t>
            </w:r>
          </w:p>
        </w:tc>
      </w:tr>
      <w:tr>
        <w:tc>
          <w:tcPr>
            <w:tcW w:type="dxa" w:w="1337"/>
            <w:shd w:fill="FFFFFF" w:color="auto" w:val="clear"/>
          </w:tcPr>
          <w:p>
            <w:pPr>
              <w:spacing w:before="80" w:after="80"/>
            </w:pPr>
            <w:r>
              <w:rPr>
                <w:rFonts w:ascii="Calibri" w:hAnsi="Calibri"/>
                <w:b w:val="0"/>
                <w:color w:val="333333"/>
                <w:sz w:val="18"/>
              </w:rPr>
              <w:t>LinkedIn followers</w:t>
            </w:r>
          </w:p>
        </w:tc>
        <w:tc>
          <w:tcPr>
            <w:tcW w:type="dxa" w:w="1337"/>
            <w:shd w:fill="FFFFFF" w:color="auto" w:val="clear"/>
          </w:tcPr>
          <w:p>
            <w:pPr>
              <w:spacing w:before="80" w:after="80"/>
            </w:pPr>
            <w:r>
              <w:rPr>
                <w:rFonts w:ascii="Calibri" w:hAnsi="Calibri"/>
                <w:b w:val="0"/>
                <w:color w:val="333333"/>
                <w:sz w:val="18"/>
              </w:rPr>
              <w:t>Unknown</w:t>
            </w:r>
          </w:p>
        </w:tc>
        <w:tc>
          <w:tcPr>
            <w:tcW w:type="dxa" w:w="1337"/>
            <w:shd w:fill="FFFFFF" w:color="auto" w:val="clear"/>
          </w:tcPr>
          <w:p>
            <w:pPr>
              <w:spacing w:before="80" w:after="80"/>
            </w:pPr>
            <w:r>
              <w:rPr>
                <w:rFonts w:ascii="Calibri" w:hAnsi="Calibri"/>
                <w:b w:val="0"/>
                <w:color w:val="333333"/>
                <w:sz w:val="18"/>
              </w:rPr>
              <w:t>+50</w:t>
            </w:r>
          </w:p>
        </w:tc>
        <w:tc>
          <w:tcPr>
            <w:tcW w:type="dxa" w:w="1337"/>
            <w:shd w:fill="FFFFFF" w:color="auto" w:val="clear"/>
          </w:tcPr>
          <w:p>
            <w:pPr>
              <w:spacing w:before="80" w:after="80"/>
            </w:pPr>
            <w:r>
              <w:rPr>
                <w:rFonts w:ascii="Calibri" w:hAnsi="Calibri"/>
                <w:b w:val="0"/>
                <w:color w:val="333333"/>
                <w:sz w:val="18"/>
              </w:rPr>
              <w:t>+150</w:t>
            </w:r>
          </w:p>
        </w:tc>
        <w:tc>
          <w:tcPr>
            <w:tcW w:type="dxa" w:w="1337"/>
            <w:shd w:fill="FFFFFF" w:color="auto" w:val="clear"/>
          </w:tcPr>
          <w:p>
            <w:pPr>
              <w:spacing w:before="80" w:after="80"/>
            </w:pPr>
            <w:r>
              <w:rPr>
                <w:rFonts w:ascii="Calibri" w:hAnsi="Calibri"/>
                <w:b w:val="0"/>
                <w:color w:val="333333"/>
                <w:sz w:val="18"/>
              </w:rPr>
              <w:t>+300</w:t>
            </w:r>
          </w:p>
        </w:tc>
        <w:tc>
          <w:tcPr>
            <w:tcW w:type="dxa" w:w="1337"/>
            <w:shd w:fill="FFFFFF" w:color="auto" w:val="clear"/>
          </w:tcPr>
          <w:p>
            <w:pPr>
              <w:spacing w:before="80" w:after="80"/>
            </w:pPr>
            <w:r>
              <w:rPr>
                <w:rFonts w:ascii="Calibri" w:hAnsi="Calibri"/>
                <w:b w:val="0"/>
                <w:color w:val="333333"/>
                <w:sz w:val="18"/>
              </w:rPr>
              <w:t>500+</w:t>
            </w:r>
          </w:p>
        </w:tc>
        <w:tc>
          <w:tcPr>
            <w:tcW w:type="dxa" w:w="1337"/>
            <w:shd w:fill="FFFFFF" w:color="auto" w:val="clear"/>
          </w:tcPr>
          <w:p>
            <w:pPr>
              <w:spacing w:before="80" w:after="80"/>
            </w:pPr>
            <w:r>
              <w:rPr>
                <w:rFonts w:ascii="Calibri" w:hAnsi="Calibri"/>
                <w:b w:val="0"/>
                <w:color w:val="333333"/>
                <w:sz w:val="18"/>
              </w:rPr>
              <w:t>800+</w:t>
            </w:r>
          </w:p>
        </w:tc>
      </w:tr>
      <w:tr>
        <w:tc>
          <w:tcPr>
            <w:tcW w:type="dxa" w:w="1337"/>
            <w:shd w:fill="EAF6FC" w:color="auto" w:val="clear"/>
          </w:tcPr>
          <w:p>
            <w:pPr>
              <w:spacing w:before="80" w:after="80"/>
            </w:pPr>
            <w:r>
              <w:rPr>
                <w:rFonts w:ascii="Calibri" w:hAnsi="Calibri"/>
                <w:b w:val="0"/>
                <w:color w:val="333333"/>
                <w:sz w:val="18"/>
              </w:rPr>
              <w:t>Avg post impressions</w:t>
            </w:r>
          </w:p>
        </w:tc>
        <w:tc>
          <w:tcPr>
            <w:tcW w:type="dxa" w:w="1337"/>
            <w:shd w:fill="EAF6FC" w:color="auto" w:val="clear"/>
          </w:tcPr>
          <w:p>
            <w:pPr>
              <w:spacing w:before="80" w:after="80"/>
            </w:pPr>
            <w:r>
              <w:rPr>
                <w:rFonts w:ascii="Calibri" w:hAnsi="Calibri"/>
                <w:b w:val="0"/>
                <w:color w:val="333333"/>
                <w:sz w:val="18"/>
              </w:rPr>
              <w:t>Unknown</w:t>
            </w:r>
          </w:p>
        </w:tc>
        <w:tc>
          <w:tcPr>
            <w:tcW w:type="dxa" w:w="1337"/>
            <w:shd w:fill="EAF6FC" w:color="auto" w:val="clear"/>
          </w:tcPr>
          <w:p>
            <w:pPr>
              <w:spacing w:before="80" w:after="80"/>
            </w:pPr>
            <w:r>
              <w:rPr>
                <w:rFonts w:ascii="Calibri" w:hAnsi="Calibri"/>
                <w:b w:val="0"/>
                <w:color w:val="333333"/>
                <w:sz w:val="18"/>
              </w:rPr>
              <w:t>200</w:t>
            </w:r>
          </w:p>
        </w:tc>
        <w:tc>
          <w:tcPr>
            <w:tcW w:type="dxa" w:w="1337"/>
            <w:shd w:fill="EAF6FC" w:color="auto" w:val="clear"/>
          </w:tcPr>
          <w:p>
            <w:pPr>
              <w:spacing w:before="80" w:after="80"/>
            </w:pPr>
            <w:r>
              <w:rPr>
                <w:rFonts w:ascii="Calibri" w:hAnsi="Calibri"/>
                <w:b w:val="0"/>
                <w:color w:val="333333"/>
                <w:sz w:val="18"/>
              </w:rPr>
              <w:t>500</w:t>
            </w:r>
          </w:p>
        </w:tc>
        <w:tc>
          <w:tcPr>
            <w:tcW w:type="dxa" w:w="1337"/>
            <w:shd w:fill="EAF6FC" w:color="auto" w:val="clear"/>
          </w:tcPr>
          <w:p>
            <w:pPr>
              <w:spacing w:before="80" w:after="80"/>
            </w:pPr>
            <w:r>
              <w:rPr>
                <w:rFonts w:ascii="Calibri" w:hAnsi="Calibri"/>
                <w:b w:val="0"/>
                <w:color w:val="333333"/>
                <w:sz w:val="18"/>
              </w:rPr>
              <w:t>1,000</w:t>
            </w:r>
          </w:p>
        </w:tc>
        <w:tc>
          <w:tcPr>
            <w:tcW w:type="dxa" w:w="1337"/>
            <w:shd w:fill="EAF6FC" w:color="auto" w:val="clear"/>
          </w:tcPr>
          <w:p>
            <w:pPr>
              <w:spacing w:before="80" w:after="80"/>
            </w:pPr>
            <w:r>
              <w:rPr>
                <w:rFonts w:ascii="Calibri" w:hAnsi="Calibri"/>
                <w:b w:val="0"/>
                <w:color w:val="333333"/>
                <w:sz w:val="18"/>
              </w:rPr>
              <w:t>2,000+</w:t>
            </w:r>
          </w:p>
        </w:tc>
        <w:tc>
          <w:tcPr>
            <w:tcW w:type="dxa" w:w="1337"/>
            <w:shd w:fill="EAF6FC" w:color="auto" w:val="clear"/>
          </w:tcPr>
          <w:p>
            <w:pPr>
              <w:spacing w:before="80" w:after="80"/>
            </w:pPr>
            <w:r>
              <w:rPr>
                <w:rFonts w:ascii="Calibri" w:hAnsi="Calibri"/>
                <w:b w:val="0"/>
                <w:color w:val="333333"/>
                <w:sz w:val="18"/>
              </w:rPr>
              <w:t>3,000+</w:t>
            </w:r>
          </w:p>
        </w:tc>
      </w:tr>
      <w:tr>
        <w:tc>
          <w:tcPr>
            <w:tcW w:type="dxa" w:w="1337"/>
            <w:shd w:fill="FFFFFF" w:color="auto" w:val="clear"/>
          </w:tcPr>
          <w:p>
            <w:pPr>
              <w:spacing w:before="80" w:after="80"/>
            </w:pPr>
            <w:r>
              <w:rPr>
                <w:rFonts w:ascii="Calibri" w:hAnsi="Calibri"/>
                <w:b w:val="0"/>
                <w:color w:val="333333"/>
                <w:sz w:val="18"/>
              </w:rPr>
              <w:t>LinkedIn-sourced leads/month</w:t>
            </w:r>
          </w:p>
        </w:tc>
        <w:tc>
          <w:tcPr>
            <w:tcW w:type="dxa" w:w="1337"/>
            <w:shd w:fill="FFFFFF" w:color="auto" w:val="clear"/>
          </w:tcPr>
          <w:p>
            <w:pPr>
              <w:spacing w:before="80" w:after="80"/>
            </w:pPr>
            <w:r>
              <w:rPr>
                <w:rFonts w:ascii="Calibri" w:hAnsi="Calibri"/>
                <w:b w:val="0"/>
                <w:color w:val="333333"/>
                <w:sz w:val="18"/>
              </w:rPr>
              <w:t>0</w:t>
            </w:r>
          </w:p>
        </w:tc>
        <w:tc>
          <w:tcPr>
            <w:tcW w:type="dxa" w:w="1337"/>
            <w:shd w:fill="FFFFFF" w:color="auto" w:val="clear"/>
          </w:tcPr>
          <w:p>
            <w:pPr>
              <w:spacing w:before="80" w:after="80"/>
            </w:pPr>
            <w:r>
              <w:rPr>
                <w:rFonts w:ascii="Calibri" w:hAnsi="Calibri"/>
                <w:b w:val="0"/>
                <w:color w:val="333333"/>
                <w:sz w:val="18"/>
              </w:rPr>
              <w:t>0</w:t>
            </w:r>
          </w:p>
        </w:tc>
        <w:tc>
          <w:tcPr>
            <w:tcW w:type="dxa" w:w="1337"/>
            <w:shd w:fill="FFFFFF" w:color="auto" w:val="clear"/>
          </w:tcPr>
          <w:p>
            <w:pPr>
              <w:spacing w:before="80" w:after="80"/>
            </w:pPr>
            <w:r>
              <w:rPr>
                <w:rFonts w:ascii="Calibri" w:hAnsi="Calibri"/>
                <w:b w:val="0"/>
                <w:color w:val="333333"/>
                <w:sz w:val="18"/>
              </w:rPr>
              <w:t>1</w:t>
            </w:r>
          </w:p>
        </w:tc>
        <w:tc>
          <w:tcPr>
            <w:tcW w:type="dxa" w:w="1337"/>
            <w:shd w:fill="FFFFFF" w:color="auto" w:val="clear"/>
          </w:tcPr>
          <w:p>
            <w:pPr>
              <w:spacing w:before="80" w:after="80"/>
            </w:pPr>
            <w:r>
              <w:rPr>
                <w:rFonts w:ascii="Calibri" w:hAnsi="Calibri"/>
                <w:b w:val="0"/>
                <w:color w:val="333333"/>
                <w:sz w:val="18"/>
              </w:rPr>
              <w:t>2–3</w:t>
            </w:r>
          </w:p>
        </w:tc>
        <w:tc>
          <w:tcPr>
            <w:tcW w:type="dxa" w:w="1337"/>
            <w:shd w:fill="FFFFFF" w:color="auto" w:val="clear"/>
          </w:tcPr>
          <w:p>
            <w:pPr>
              <w:spacing w:before="80" w:after="80"/>
            </w:pPr>
            <w:r>
              <w:rPr>
                <w:rFonts w:ascii="Calibri" w:hAnsi="Calibri"/>
                <w:b w:val="0"/>
                <w:color w:val="333333"/>
                <w:sz w:val="18"/>
              </w:rPr>
              <w:t>3–4</w:t>
            </w:r>
          </w:p>
        </w:tc>
        <w:tc>
          <w:tcPr>
            <w:tcW w:type="dxa" w:w="1337"/>
            <w:shd w:fill="FFFFFF" w:color="auto" w:val="clear"/>
          </w:tcPr>
          <w:p>
            <w:pPr>
              <w:spacing w:before="80" w:after="80"/>
            </w:pPr>
            <w:r>
              <w:rPr>
                <w:rFonts w:ascii="Calibri" w:hAnsi="Calibri"/>
                <w:b w:val="0"/>
                <w:color w:val="333333"/>
                <w:sz w:val="18"/>
              </w:rPr>
              <w:t>4–5</w:t>
            </w:r>
          </w:p>
        </w:tc>
      </w:tr>
    </w:tbl>
    <w:p>
      <w:pPr>
        <w:spacing w:before="0" w:after="120"/>
      </w:pPr>
    </w:p>
    <w:p>
      <w:pPr>
        <w:shd w:fill="F5F5F5" w:color="auto" w:val="clear"/>
        <w:spacing w:before="200" w:after="40"/>
      </w:pPr>
      <w:r>
        <w:rPr>
          <w:rFonts w:ascii="Calibri" w:hAnsi="Calibri"/>
          <w:b/>
          <w:color w:val="58585A"/>
          <w:sz w:val="22"/>
        </w:rPr>
        <w:t xml:space="preserve">  Referral Network</w:t>
      </w:r>
    </w:p>
    <w:tbl>
      <w:tblPr>
        <w:tblW w:type="auto" w:w="0"/>
        <w:tblLook w:firstColumn="1" w:firstRow="1" w:lastColumn="0" w:lastRow="0" w:noHBand="0" w:noVBand="1" w:val="04A0"/>
        <w:tblBorders>
          <w:top w:val="none"/>
          <w:left w:val="none"/>
          <w:bottom w:val="none"/>
          <w:right w:val="none"/>
          <w:insideH w:val="none"/>
          <w:insideV w:val="none"/>
        </w:tblBorders>
      </w:tblPr>
      <w:tblGrid>
        <w:gridCol w:w="1337"/>
        <w:gridCol w:w="1337"/>
        <w:gridCol w:w="1337"/>
        <w:gridCol w:w="1337"/>
        <w:gridCol w:w="1337"/>
        <w:gridCol w:w="1337"/>
        <w:gridCol w:w="1337"/>
      </w:tblGrid>
      <w:tr>
        <w:tc>
          <w:tcPr>
            <w:tcW w:type="dxa" w:w="1337"/>
            <w:shd w:fill="1A2533" w:color="auto" w:val="clear"/>
          </w:tcPr>
          <w:p>
            <w:pPr>
              <w:spacing w:before="80" w:after="80"/>
            </w:pPr>
            <w:r>
              <w:rPr>
                <w:rFonts w:ascii="Calibri" w:hAnsi="Calibri"/>
                <w:b/>
                <w:color w:val="FFFFFF"/>
                <w:sz w:val="18"/>
              </w:rPr>
              <w:t>Metric</w:t>
            </w:r>
          </w:p>
        </w:tc>
        <w:tc>
          <w:tcPr>
            <w:tcW w:type="dxa" w:w="1337"/>
            <w:shd w:fill="1A2533" w:color="auto" w:val="clear"/>
          </w:tcPr>
          <w:p>
            <w:pPr>
              <w:spacing w:before="80" w:after="80"/>
            </w:pPr>
            <w:r>
              <w:rPr>
                <w:rFonts w:ascii="Calibri" w:hAnsi="Calibri"/>
                <w:b/>
                <w:color w:val="FFFFFF"/>
                <w:sz w:val="18"/>
              </w:rPr>
              <w:t>Current</w:t>
            </w:r>
          </w:p>
        </w:tc>
        <w:tc>
          <w:tcPr>
            <w:tcW w:type="dxa" w:w="1337"/>
            <w:shd w:fill="1A2533" w:color="auto" w:val="clear"/>
          </w:tcPr>
          <w:p>
            <w:pPr>
              <w:spacing w:before="80" w:after="80"/>
            </w:pPr>
            <w:r>
              <w:rPr>
                <w:rFonts w:ascii="Calibri" w:hAnsi="Calibri"/>
                <w:b/>
                <w:color w:val="FFFFFF"/>
                <w:sz w:val="18"/>
              </w:rPr>
              <w:t>30 Days</w:t>
            </w:r>
          </w:p>
        </w:tc>
        <w:tc>
          <w:tcPr>
            <w:tcW w:type="dxa" w:w="1337"/>
            <w:shd w:fill="1A2533" w:color="auto" w:val="clear"/>
          </w:tcPr>
          <w:p>
            <w:pPr>
              <w:spacing w:before="80" w:after="80"/>
            </w:pPr>
            <w:r>
              <w:rPr>
                <w:rFonts w:ascii="Calibri" w:hAnsi="Calibri"/>
                <w:b/>
                <w:color w:val="FFFFFF"/>
                <w:sz w:val="18"/>
              </w:rPr>
              <w:t>60 Days</w:t>
            </w:r>
          </w:p>
        </w:tc>
        <w:tc>
          <w:tcPr>
            <w:tcW w:type="dxa" w:w="1337"/>
            <w:shd w:fill="1A2533" w:color="auto" w:val="clear"/>
          </w:tcPr>
          <w:p>
            <w:pPr>
              <w:spacing w:before="80" w:after="80"/>
            </w:pPr>
            <w:r>
              <w:rPr>
                <w:rFonts w:ascii="Calibri" w:hAnsi="Calibri"/>
                <w:b/>
                <w:color w:val="FFFFFF"/>
                <w:sz w:val="18"/>
              </w:rPr>
              <w:t>90 Days</w:t>
            </w:r>
          </w:p>
        </w:tc>
        <w:tc>
          <w:tcPr>
            <w:tcW w:type="dxa" w:w="1337"/>
            <w:shd w:fill="1A2533" w:color="auto" w:val="clear"/>
          </w:tcPr>
          <w:p>
            <w:pPr>
              <w:spacing w:before="80" w:after="80"/>
            </w:pPr>
            <w:r>
              <w:rPr>
                <w:rFonts w:ascii="Calibri" w:hAnsi="Calibri"/>
                <w:b/>
                <w:color w:val="FFFFFF"/>
                <w:sz w:val="18"/>
              </w:rPr>
              <w:t>6 Months</w:t>
            </w:r>
          </w:p>
        </w:tc>
        <w:tc>
          <w:tcPr>
            <w:tcW w:type="dxa" w:w="1337"/>
            <w:shd w:fill="1A2533" w:color="auto" w:val="clear"/>
          </w:tcPr>
          <w:p>
            <w:pPr>
              <w:spacing w:before="80" w:after="80"/>
            </w:pPr>
            <w:r>
              <w:rPr>
                <w:rFonts w:ascii="Calibri" w:hAnsi="Calibri"/>
                <w:b/>
                <w:color w:val="FFFFFF"/>
                <w:sz w:val="18"/>
              </w:rPr>
              <w:t>12 Months</w:t>
            </w:r>
          </w:p>
        </w:tc>
      </w:tr>
      <w:tr>
        <w:tc>
          <w:tcPr>
            <w:tcW w:type="dxa" w:w="1337"/>
            <w:shd w:fill="FFFFFF" w:color="auto" w:val="clear"/>
          </w:tcPr>
          <w:p>
            <w:pPr>
              <w:spacing w:before="80" w:after="80"/>
            </w:pPr>
            <w:r>
              <w:rPr>
                <w:rFonts w:ascii="Calibri" w:hAnsi="Calibri"/>
                <w:b w:val="0"/>
                <w:color w:val="333333"/>
                <w:sz w:val="18"/>
              </w:rPr>
              <w:t>Active CPA/advisor referral relationships</w:t>
            </w:r>
          </w:p>
        </w:tc>
        <w:tc>
          <w:tcPr>
            <w:tcW w:type="dxa" w:w="1337"/>
            <w:shd w:fill="FFFFFF" w:color="auto" w:val="clear"/>
          </w:tcPr>
          <w:p>
            <w:pPr>
              <w:spacing w:before="80" w:after="80"/>
            </w:pPr>
            <w:r>
              <w:rPr>
                <w:rFonts w:ascii="Calibri" w:hAnsi="Calibri"/>
                <w:b w:val="0"/>
                <w:color w:val="333333"/>
                <w:sz w:val="18"/>
              </w:rPr>
              <w:t>0 (formal)</w:t>
            </w:r>
          </w:p>
        </w:tc>
        <w:tc>
          <w:tcPr>
            <w:tcW w:type="dxa" w:w="1337"/>
            <w:shd w:fill="FFFFFF" w:color="auto" w:val="clear"/>
          </w:tcPr>
          <w:p>
            <w:pPr>
              <w:spacing w:before="80" w:after="80"/>
            </w:pPr>
            <w:r>
              <w:rPr>
                <w:rFonts w:ascii="Calibri" w:hAnsi="Calibri"/>
                <w:b w:val="0"/>
                <w:color w:val="333333"/>
                <w:sz w:val="18"/>
              </w:rPr>
              <w:t>5</w:t>
            </w:r>
          </w:p>
        </w:tc>
        <w:tc>
          <w:tcPr>
            <w:tcW w:type="dxa" w:w="1337"/>
            <w:shd w:fill="FFFFFF" w:color="auto" w:val="clear"/>
          </w:tcPr>
          <w:p>
            <w:pPr>
              <w:spacing w:before="80" w:after="80"/>
            </w:pPr>
            <w:r>
              <w:rPr>
                <w:rFonts w:ascii="Calibri" w:hAnsi="Calibri"/>
                <w:b w:val="0"/>
                <w:color w:val="333333"/>
                <w:sz w:val="18"/>
              </w:rPr>
              <w:t>10</w:t>
            </w:r>
          </w:p>
        </w:tc>
        <w:tc>
          <w:tcPr>
            <w:tcW w:type="dxa" w:w="1337"/>
            <w:shd w:fill="FFFFFF" w:color="auto" w:val="clear"/>
          </w:tcPr>
          <w:p>
            <w:pPr>
              <w:spacing w:before="80" w:after="80"/>
            </w:pPr>
            <w:r>
              <w:rPr>
                <w:rFonts w:ascii="Calibri" w:hAnsi="Calibri"/>
                <w:b w:val="0"/>
                <w:color w:val="333333"/>
                <w:sz w:val="18"/>
              </w:rPr>
              <w:t>15</w:t>
            </w:r>
          </w:p>
        </w:tc>
        <w:tc>
          <w:tcPr>
            <w:tcW w:type="dxa" w:w="1337"/>
            <w:shd w:fill="FFFFFF" w:color="auto" w:val="clear"/>
          </w:tcPr>
          <w:p>
            <w:pPr>
              <w:spacing w:before="80" w:after="80"/>
            </w:pPr>
            <w:r>
              <w:rPr>
                <w:rFonts w:ascii="Calibri" w:hAnsi="Calibri"/>
                <w:b w:val="0"/>
                <w:color w:val="333333"/>
                <w:sz w:val="18"/>
              </w:rPr>
              <w:t>20</w:t>
            </w:r>
          </w:p>
        </w:tc>
        <w:tc>
          <w:tcPr>
            <w:tcW w:type="dxa" w:w="1337"/>
            <w:shd w:fill="FFFFFF" w:color="auto" w:val="clear"/>
          </w:tcPr>
          <w:p>
            <w:pPr>
              <w:spacing w:before="80" w:after="80"/>
            </w:pPr>
            <w:r>
              <w:rPr>
                <w:rFonts w:ascii="Calibri" w:hAnsi="Calibri"/>
                <w:b w:val="0"/>
                <w:color w:val="333333"/>
                <w:sz w:val="18"/>
              </w:rPr>
              <w:t>25+</w:t>
            </w:r>
          </w:p>
        </w:tc>
      </w:tr>
      <w:tr>
        <w:tc>
          <w:tcPr>
            <w:tcW w:type="dxa" w:w="1337"/>
            <w:shd w:fill="EAF6FC" w:color="auto" w:val="clear"/>
          </w:tcPr>
          <w:p>
            <w:pPr>
              <w:spacing w:before="80" w:after="80"/>
            </w:pPr>
            <w:r>
              <w:rPr>
                <w:rFonts w:ascii="Calibri" w:hAnsi="Calibri"/>
                <w:b w:val="0"/>
                <w:color w:val="333333"/>
                <w:sz w:val="18"/>
              </w:rPr>
              <w:t>Referrals received from CPA/advisor network</w:t>
            </w:r>
          </w:p>
        </w:tc>
        <w:tc>
          <w:tcPr>
            <w:tcW w:type="dxa" w:w="1337"/>
            <w:shd w:fill="EAF6FC" w:color="auto" w:val="clear"/>
          </w:tcPr>
          <w:p>
            <w:pPr>
              <w:spacing w:before="80" w:after="80"/>
            </w:pPr>
            <w:r>
              <w:rPr>
                <w:rFonts w:ascii="Calibri" w:hAnsi="Calibri"/>
                <w:b w:val="0"/>
                <w:color w:val="333333"/>
                <w:sz w:val="18"/>
              </w:rPr>
              <w:t>0</w:t>
            </w:r>
          </w:p>
        </w:tc>
        <w:tc>
          <w:tcPr>
            <w:tcW w:type="dxa" w:w="1337"/>
            <w:shd w:fill="EAF6FC" w:color="auto" w:val="clear"/>
          </w:tcPr>
          <w:p>
            <w:pPr>
              <w:spacing w:before="80" w:after="80"/>
            </w:pPr>
            <w:r>
              <w:rPr>
                <w:rFonts w:ascii="Calibri" w:hAnsi="Calibri"/>
                <w:b w:val="0"/>
                <w:color w:val="333333"/>
                <w:sz w:val="18"/>
              </w:rPr>
              <w:t>0</w:t>
            </w:r>
          </w:p>
        </w:tc>
        <w:tc>
          <w:tcPr>
            <w:tcW w:type="dxa" w:w="1337"/>
            <w:shd w:fill="EAF6FC" w:color="auto" w:val="clear"/>
          </w:tcPr>
          <w:p>
            <w:pPr>
              <w:spacing w:before="80" w:after="80"/>
            </w:pPr>
            <w:r>
              <w:rPr>
                <w:rFonts w:ascii="Calibri" w:hAnsi="Calibri"/>
                <w:b w:val="0"/>
                <w:color w:val="333333"/>
                <w:sz w:val="18"/>
              </w:rPr>
              <w:t>1–2</w:t>
            </w:r>
          </w:p>
        </w:tc>
        <w:tc>
          <w:tcPr>
            <w:tcW w:type="dxa" w:w="1337"/>
            <w:shd w:fill="EAF6FC" w:color="auto" w:val="clear"/>
          </w:tcPr>
          <w:p>
            <w:pPr>
              <w:spacing w:before="80" w:after="80"/>
            </w:pPr>
            <w:r>
              <w:rPr>
                <w:rFonts w:ascii="Calibri" w:hAnsi="Calibri"/>
                <w:b w:val="0"/>
                <w:color w:val="333333"/>
                <w:sz w:val="18"/>
              </w:rPr>
              <w:t>3–5</w:t>
            </w:r>
          </w:p>
        </w:tc>
        <w:tc>
          <w:tcPr>
            <w:tcW w:type="dxa" w:w="1337"/>
            <w:shd w:fill="EAF6FC" w:color="auto" w:val="clear"/>
          </w:tcPr>
          <w:p>
            <w:pPr>
              <w:spacing w:before="80" w:after="80"/>
            </w:pPr>
            <w:r>
              <w:rPr>
                <w:rFonts w:ascii="Calibri" w:hAnsi="Calibri"/>
                <w:b w:val="0"/>
                <w:color w:val="333333"/>
                <w:sz w:val="18"/>
              </w:rPr>
              <w:t>5–8</w:t>
            </w:r>
          </w:p>
        </w:tc>
        <w:tc>
          <w:tcPr>
            <w:tcW w:type="dxa" w:w="1337"/>
            <w:shd w:fill="EAF6FC" w:color="auto" w:val="clear"/>
          </w:tcPr>
          <w:p>
            <w:pPr>
              <w:spacing w:before="80" w:after="80"/>
            </w:pPr>
            <w:r>
              <w:rPr>
                <w:rFonts w:ascii="Calibri" w:hAnsi="Calibri"/>
                <w:b w:val="0"/>
                <w:color w:val="333333"/>
                <w:sz w:val="18"/>
              </w:rPr>
              <w:t>8–12</w:t>
            </w:r>
          </w:p>
        </w:tc>
      </w:tr>
      <w:tr>
        <w:tc>
          <w:tcPr>
            <w:tcW w:type="dxa" w:w="1337"/>
            <w:shd w:fill="FFFFFF" w:color="auto" w:val="clear"/>
          </w:tcPr>
          <w:p>
            <w:pPr>
              <w:spacing w:before="80" w:after="80"/>
            </w:pPr>
            <w:r>
              <w:rPr>
                <w:rFonts w:ascii="Calibri" w:hAnsi="Calibri"/>
                <w:b w:val="0"/>
                <w:color w:val="333333"/>
                <w:sz w:val="18"/>
              </w:rPr>
              <w:t>Revenue from CPA/advisor referrals</w:t>
            </w:r>
          </w:p>
        </w:tc>
        <w:tc>
          <w:tcPr>
            <w:tcW w:type="dxa" w:w="1337"/>
            <w:shd w:fill="FFFFFF" w:color="auto" w:val="clear"/>
          </w:tcPr>
          <w:p>
            <w:pPr>
              <w:spacing w:before="80" w:after="80"/>
            </w:pPr>
            <w:r>
              <w:rPr>
                <w:rFonts w:ascii="Calibri" w:hAnsi="Calibri"/>
                <w:b w:val="0"/>
                <w:color w:val="333333"/>
                <w:sz w:val="18"/>
              </w:rPr>
              <w:t>$0</w:t>
            </w:r>
          </w:p>
        </w:tc>
        <w:tc>
          <w:tcPr>
            <w:tcW w:type="dxa" w:w="1337"/>
            <w:shd w:fill="FFFFFF" w:color="auto" w:val="clear"/>
          </w:tcPr>
          <w:p>
            <w:pPr>
              <w:spacing w:before="80" w:after="80"/>
            </w:pPr>
            <w:r>
              <w:rPr>
                <w:rFonts w:ascii="Calibri" w:hAnsi="Calibri"/>
                <w:b w:val="0"/>
                <w:color w:val="333333"/>
                <w:sz w:val="18"/>
              </w:rPr>
              <w:t>$0</w:t>
            </w:r>
          </w:p>
        </w:tc>
        <w:tc>
          <w:tcPr>
            <w:tcW w:type="dxa" w:w="1337"/>
            <w:shd w:fill="FFFFFF" w:color="auto" w:val="clear"/>
          </w:tcPr>
          <w:p>
            <w:pPr>
              <w:spacing w:before="80" w:after="80"/>
            </w:pPr>
            <w:r>
              <w:rPr>
                <w:rFonts w:ascii="Calibri" w:hAnsi="Calibri"/>
                <w:b w:val="0"/>
                <w:color w:val="333333"/>
                <w:sz w:val="18"/>
              </w:rPr>
              <w:t>$12–24k</w:t>
            </w:r>
          </w:p>
        </w:tc>
        <w:tc>
          <w:tcPr>
            <w:tcW w:type="dxa" w:w="1337"/>
            <w:shd w:fill="FFFFFF" w:color="auto" w:val="clear"/>
          </w:tcPr>
          <w:p>
            <w:pPr>
              <w:spacing w:before="80" w:after="80"/>
            </w:pPr>
            <w:r>
              <w:rPr>
                <w:rFonts w:ascii="Calibri" w:hAnsi="Calibri"/>
                <w:b w:val="0"/>
                <w:color w:val="333333"/>
                <w:sz w:val="18"/>
              </w:rPr>
              <w:t>$24–60k</w:t>
            </w:r>
          </w:p>
        </w:tc>
        <w:tc>
          <w:tcPr>
            <w:tcW w:type="dxa" w:w="1337"/>
            <w:shd w:fill="FFFFFF" w:color="auto" w:val="clear"/>
          </w:tcPr>
          <w:p>
            <w:pPr>
              <w:spacing w:before="80" w:after="80"/>
            </w:pPr>
            <w:r>
              <w:rPr>
                <w:rFonts w:ascii="Calibri" w:hAnsi="Calibri"/>
                <w:b w:val="0"/>
                <w:color w:val="333333"/>
                <w:sz w:val="18"/>
              </w:rPr>
              <w:t>$60–100k</w:t>
            </w:r>
          </w:p>
        </w:tc>
        <w:tc>
          <w:tcPr>
            <w:tcW w:type="dxa" w:w="1337"/>
            <w:shd w:fill="FFFFFF" w:color="auto" w:val="clear"/>
          </w:tcPr>
          <w:p>
            <w:pPr>
              <w:spacing w:before="80" w:after="80"/>
            </w:pPr>
            <w:r>
              <w:rPr>
                <w:rFonts w:ascii="Calibri" w:hAnsi="Calibri"/>
                <w:b w:val="0"/>
                <w:color w:val="333333"/>
                <w:sz w:val="18"/>
              </w:rPr>
              <w:t>$100k+</w:t>
            </w:r>
          </w:p>
        </w:tc>
      </w:tr>
    </w:tbl>
    <w:p>
      <w:pPr>
        <w:spacing w:before="0" w:after="120"/>
      </w:pPr>
    </w:p>
    <w:p>
      <w:pPr>
        <w:shd w:fill="F5F5F5" w:color="auto" w:val="clear"/>
        <w:spacing w:before="200" w:after="40"/>
      </w:pPr>
      <w:r>
        <w:rPr>
          <w:rFonts w:ascii="Calibri" w:hAnsi="Calibri"/>
          <w:b/>
          <w:color w:val="58585A"/>
          <w:sz w:val="22"/>
        </w:rPr>
        <w:t xml:space="preserve">  Dashboard Review Schedule</w:t>
      </w:r>
    </w:p>
    <w:p>
      <w:pPr>
        <w:pStyle w:val="ListBullet"/>
        <w:spacing w:before="0" w:after="60"/>
        <w:ind w:left="288"/>
      </w:pPr>
      <w:r>
        <w:rPr>
          <w:rFonts w:ascii="Calibri" w:hAnsi="Calibri"/>
          <w:b w:val="0"/>
          <w:i w:val="0"/>
          <w:color w:val="333333"/>
          <w:sz w:val="21"/>
        </w:rPr>
      </w:r>
      <w:r>
        <w:rPr>
          <w:rFonts w:ascii="Calibri" w:hAnsi="Calibri"/>
          <w:b/>
          <w:i w:val="0"/>
          <w:color w:val="333333"/>
          <w:sz w:val="21"/>
        </w:rPr>
        <w:t>30-day check-in</w:t>
      </w:r>
      <w:r>
        <w:rPr>
          <w:rFonts w:ascii="Calibri" w:hAnsi="Calibri"/>
          <w:b w:val="0"/>
          <w:i w:val="0"/>
          <w:color w:val="333333"/>
          <w:sz w:val="21"/>
        </w:rPr>
        <w:t>: Confirm baselines, assess Fast Cash campaign early results, adjust LinkedIn content angles.</w:t>
      </w:r>
    </w:p>
    <w:p>
      <w:pPr>
        <w:pStyle w:val="ListBullet"/>
        <w:spacing w:before="0" w:after="60"/>
        <w:ind w:left="288"/>
      </w:pPr>
      <w:r>
        <w:rPr>
          <w:rFonts w:ascii="Calibri" w:hAnsi="Calibri"/>
          <w:b w:val="0"/>
          <w:i w:val="0"/>
          <w:color w:val="333333"/>
          <w:sz w:val="21"/>
        </w:rPr>
      </w:r>
      <w:r>
        <w:rPr>
          <w:rFonts w:ascii="Calibri" w:hAnsi="Calibri"/>
          <w:b/>
          <w:i w:val="0"/>
          <w:color w:val="333333"/>
          <w:sz w:val="21"/>
        </w:rPr>
        <w:t>60-day check-in</w:t>
      </w:r>
      <w:r>
        <w:rPr>
          <w:rFonts w:ascii="Calibri" w:hAnsi="Calibri"/>
          <w:b w:val="0"/>
          <w:i w:val="0"/>
          <w:color w:val="333333"/>
          <w:sz w:val="21"/>
        </w:rPr>
        <w:t>: Review review generation progress, assess CPA relationship pipeline, check keyword indexing.</w:t>
      </w:r>
    </w:p>
    <w:p>
      <w:pPr>
        <w:pStyle w:val="ListBullet"/>
        <w:spacing w:before="0" w:after="60"/>
        <w:ind w:left="288"/>
      </w:pPr>
      <w:r>
        <w:rPr>
          <w:rFonts w:ascii="Calibri" w:hAnsi="Calibri"/>
          <w:b w:val="0"/>
          <w:i w:val="0"/>
          <w:color w:val="333333"/>
          <w:sz w:val="21"/>
        </w:rPr>
      </w:r>
      <w:r>
        <w:rPr>
          <w:rFonts w:ascii="Calibri" w:hAnsi="Calibri"/>
          <w:b/>
          <w:i w:val="0"/>
          <w:color w:val="333333"/>
          <w:sz w:val="21"/>
        </w:rPr>
        <w:t>90-day QBR (Quarterly Business Review)</w:t>
      </w:r>
      <w:r>
        <w:rPr>
          <w:rFonts w:ascii="Calibri" w:hAnsi="Calibri"/>
          <w:b w:val="0"/>
          <w:i w:val="0"/>
          <w:color w:val="333333"/>
          <w:sz w:val="21"/>
        </w:rPr>
        <w:t>: Full KPI review, content performance analysis, Q2 plan confirmation.</w:t>
      </w:r>
    </w:p>
    <w:p>
      <w:pPr>
        <w:pStyle w:val="ListBullet"/>
        <w:spacing w:before="0" w:after="60"/>
        <w:ind w:left="288"/>
      </w:pPr>
      <w:r>
        <w:rPr>
          <w:rFonts w:ascii="Calibri" w:hAnsi="Calibri"/>
          <w:b w:val="0"/>
          <w:i w:val="0"/>
          <w:color w:val="333333"/>
          <w:sz w:val="21"/>
        </w:rPr>
      </w:r>
      <w:r>
        <w:rPr>
          <w:rFonts w:ascii="Calibri" w:hAnsi="Calibri"/>
          <w:b/>
          <w:i w:val="0"/>
          <w:color w:val="333333"/>
          <w:sz w:val="21"/>
        </w:rPr>
        <w:t>6-month review</w:t>
      </w:r>
      <w:r>
        <w:rPr>
          <w:rFonts w:ascii="Calibri" w:hAnsi="Calibri"/>
          <w:b w:val="0"/>
          <w:i w:val="0"/>
          <w:color w:val="333333"/>
          <w:sz w:val="21"/>
        </w:rPr>
        <w:t>: Mid-year assessment, Year 2 preview conversation.</w:t>
      </w:r>
    </w:p>
    <w:p>
      <w:pPr>
        <w:pStyle w:val="ListBullet"/>
        <w:spacing w:before="0" w:after="60"/>
        <w:ind w:left="288"/>
      </w:pPr>
      <w:r>
        <w:rPr>
          <w:rFonts w:ascii="Calibri" w:hAnsi="Calibri"/>
          <w:b w:val="0"/>
          <w:i w:val="0"/>
          <w:color w:val="333333"/>
          <w:sz w:val="21"/>
        </w:rPr>
      </w:r>
      <w:r>
        <w:rPr>
          <w:rFonts w:ascii="Calibri" w:hAnsi="Calibri"/>
          <w:b/>
          <w:i w:val="0"/>
          <w:color w:val="333333"/>
          <w:sz w:val="21"/>
        </w:rPr>
        <w:t>12-month annual review</w:t>
      </w:r>
      <w:r>
        <w:rPr>
          <w:rFonts w:ascii="Calibri" w:hAnsi="Calibri"/>
          <w:b w:val="0"/>
          <w:i w:val="0"/>
          <w:color w:val="333333"/>
          <w:sz w:val="21"/>
        </w:rPr>
        <w:t>: Full Year 1 results, ROI calculation, Year 2 Blueprint.</w:t>
      </w:r>
    </w:p>
    <w:p>
      <w:pPr>
        <w:spacing w:before="160" w:after="80"/>
      </w:pPr>
      <w:r>
        <w:rPr>
          <w:rFonts w:ascii="Calibri" w:hAnsi="Calibri"/>
          <w:i/>
          <w:color w:val="888888"/>
          <w:sz w:val="18"/>
        </w:rPr>
        <w:t>— Preston Adler, COO,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08</w:t>
            </w:r>
          </w:p>
        </w:tc>
        <w:tc>
          <w:tcPr>
            <w:tcW w:type="dxa" w:w="4680"/>
            <w:shd w:fill="25438A" w:color="auto" w:val="clear"/>
          </w:tcPr>
          <w:p>
            <w:pPr>
              <w:spacing w:before="120" w:after="120"/>
            </w:pPr>
            <w:r>
              <w:rPr>
                <w:rFonts w:ascii="Calibri" w:hAnsi="Calibri"/>
                <w:b/>
                <w:color w:val="FFFFFF"/>
                <w:sz w:val="22"/>
              </w:rPr>
              <w:t>Section 8: Content Authority Strategy™</w:t>
            </w:r>
          </w:p>
        </w:tc>
      </w:tr>
    </w:tbl>
    <w:p>
      <w:pPr>
        <w:spacing w:before="0" w:after="120"/>
      </w:pPr>
    </w:p>
    <w:p>
      <w:pPr>
        <w:spacing w:before="40" w:after="80"/>
      </w:pPr>
      <w:r>
        <w:rPr>
          <w:rFonts w:ascii="Calibri" w:hAnsi="Calibri"/>
          <w:i/>
          <w:color w:val="58585A"/>
          <w:sz w:val="19"/>
        </w:rPr>
        <w:t>Prepared by Vivienne Carr, Chief Marketing Officer</w:t>
      </w:r>
    </w:p>
    <w:p>
      <w:pPr>
        <w:shd w:fill="F5F5F5" w:color="auto" w:val="clear"/>
        <w:spacing w:before="200" w:after="40"/>
      </w:pPr>
      <w:r>
        <w:rPr>
          <w:rFonts w:ascii="Calibri" w:hAnsi="Calibri"/>
          <w:b/>
          <w:color w:val="58585A"/>
          <w:sz w:val="22"/>
        </w:rPr>
        <w:t xml:space="preserve">  Strategic Premise</w:t>
      </w:r>
    </w:p>
    <w:p>
      <w:pPr>
        <w:spacing w:before="0" w:after="100"/>
      </w:pPr>
      <w:r>
        <w:rPr>
          <w:rFonts w:ascii="Calibri" w:hAnsi="Calibri"/>
          <w:b w:val="0"/>
          <w:i w:val="0"/>
          <w:color w:val="333333"/>
          <w:sz w:val="21"/>
        </w:rPr>
        <w:t>Thomas Banks does not need more content. He needs the right content — content that is specific to the intersection of financial complexity, credential depth, and contested divorce, and that reaches High-Stakes Henry at the exact moment Henry is realizing his situation exceeds what the average attorney can handle.</w:t>
      </w:r>
    </w:p>
    <w:p>
      <w:pPr>
        <w:spacing w:before="0" w:after="100"/>
      </w:pPr>
      <w:r>
        <w:rPr>
          <w:rFonts w:ascii="Calibri" w:hAnsi="Calibri"/>
          <w:b w:val="0"/>
          <w:i w:val="0"/>
          <w:color w:val="333333"/>
          <w:sz w:val="21"/>
        </w:rPr>
        <w:t>Every piece of content this strategy produces maps to a specific stage pair on the Belief-to-Buy Framework™. There is no content for its own sake. Every article, post, video, and email has a single job: move the reader one step closer to the moment when hiring Thomas feels like the obvious and safe decision.</w:t>
      </w:r>
    </w:p>
    <w:p>
      <w:pPr>
        <w:shd w:fill="F5F5F5" w:color="auto" w:val="clear"/>
        <w:spacing w:before="200" w:after="40"/>
      </w:pPr>
      <w:r>
        <w:rPr>
          <w:rFonts w:ascii="Calibri" w:hAnsi="Calibri"/>
          <w:b/>
          <w:color w:val="58585A"/>
          <w:sz w:val="22"/>
        </w:rPr>
        <w:t xml:space="preserve">  Pillar Content Themes</w:t>
      </w:r>
    </w:p>
    <w:p>
      <w:pPr>
        <w:spacing w:before="160" w:after="40"/>
      </w:pPr>
      <w:r>
        <w:rPr>
          <w:rFonts w:ascii="Calibri" w:hAnsi="Calibri"/>
          <w:b/>
          <w:color w:val="1A2533"/>
          <w:sz w:val="21"/>
        </w:rPr>
        <w:t>Pillar 1 — Financial Complexity in High-Asset Divorce (Primary)</w:t>
      </w:r>
    </w:p>
    <w:p>
      <w:pPr>
        <w:spacing w:before="0" w:after="100"/>
      </w:pPr>
      <w:r>
        <w:rPr>
          <w:rFonts w:ascii="Calibri" w:hAnsi="Calibri"/>
          <w:b w:val="0"/>
          <w:i w:val="0"/>
          <w:color w:val="333333"/>
          <w:sz w:val="21"/>
        </w:rPr>
        <w:t>This is Thomas's most differentiated territory and the one no competitor can authentically occupy. Content under this pillar covers:</w:t>
      </w:r>
    </w:p>
    <w:p>
      <w:pPr>
        <w:pStyle w:val="ListBullet"/>
        <w:spacing w:before="0" w:after="60"/>
        <w:ind w:left="288"/>
      </w:pPr>
      <w:r>
        <w:rPr>
          <w:rFonts w:ascii="Calibri" w:hAnsi="Calibri"/>
          <w:b w:val="0"/>
          <w:i w:val="0"/>
          <w:color w:val="333333"/>
          <w:sz w:val="21"/>
        </w:rPr>
        <w:t>How business valuations work and how they get contested</w:t>
      </w:r>
    </w:p>
    <w:p>
      <w:pPr>
        <w:pStyle w:val="ListBullet"/>
        <w:spacing w:before="0" w:after="60"/>
        <w:ind w:left="288"/>
      </w:pPr>
      <w:r>
        <w:rPr>
          <w:rFonts w:ascii="Calibri" w:hAnsi="Calibri"/>
          <w:b w:val="0"/>
          <w:i w:val="0"/>
          <w:color w:val="333333"/>
          <w:sz w:val="21"/>
        </w:rPr>
        <w:t>What forensic accounting reveals that standard discovery doesn't</w:t>
      </w:r>
    </w:p>
    <w:p>
      <w:pPr>
        <w:pStyle w:val="ListBullet"/>
        <w:spacing w:before="0" w:after="60"/>
        <w:ind w:left="288"/>
      </w:pPr>
      <w:r>
        <w:rPr>
          <w:rFonts w:ascii="Calibri" w:hAnsi="Calibri"/>
          <w:b w:val="0"/>
          <w:i w:val="0"/>
          <w:color w:val="333333"/>
          <w:sz w:val="21"/>
        </w:rPr>
        <w:t>How hidden assets get found (and how opposing attorneys try to hide them)</w:t>
      </w:r>
    </w:p>
    <w:p>
      <w:pPr>
        <w:pStyle w:val="ListBullet"/>
        <w:spacing w:before="0" w:after="60"/>
        <w:ind w:left="288"/>
      </w:pPr>
      <w:r>
        <w:rPr>
          <w:rFonts w:ascii="Calibri" w:hAnsi="Calibri"/>
          <w:b w:val="0"/>
          <w:i w:val="0"/>
          <w:color w:val="333333"/>
          <w:sz w:val="21"/>
        </w:rPr>
        <w:t>What the AAML Fellowship credential means in the context of financial complexity</w:t>
      </w:r>
    </w:p>
    <w:p>
      <w:pPr>
        <w:pStyle w:val="ListBullet"/>
        <w:spacing w:before="0" w:after="60"/>
        <w:ind w:left="288"/>
      </w:pPr>
      <w:r>
        <w:rPr>
          <w:rFonts w:ascii="Calibri" w:hAnsi="Calibri"/>
          <w:b w:val="0"/>
          <w:i w:val="0"/>
          <w:color w:val="333333"/>
          <w:sz w:val="21"/>
        </w:rPr>
        <w:t>How Thomas's pre-law accounting career changed what he sees in financial disclosures</w:t>
      </w:r>
    </w:p>
    <w:p>
      <w:pPr>
        <w:spacing w:before="0" w:after="100"/>
      </w:pPr>
      <w:r>
        <w:rPr>
          <w:rFonts w:ascii="Calibri" w:hAnsi="Calibri"/>
          <w:b w:val="0"/>
          <w:i w:val="0"/>
          <w:color w:val="333333"/>
          <w:sz w:val="21"/>
        </w:rPr>
        <w:t>This pillar serves B1/E1 through B3/E3 — it surfaces the Enemy Belief, reframes the category, and delivers the New Worldview that most attorneys are not equipped for the financial mechanics of high-asset divorce.</w:t>
      </w:r>
    </w:p>
    <w:p>
      <w:pPr>
        <w:spacing w:before="160" w:after="40"/>
      </w:pPr>
      <w:r>
        <w:rPr>
          <w:rFonts w:ascii="Calibri" w:hAnsi="Calibri"/>
          <w:b/>
          <w:color w:val="1A2533"/>
          <w:sz w:val="21"/>
        </w:rPr>
        <w:t>Pillar 2 — What the Courts Actually Do (Authority Education)</w:t>
      </w:r>
    </w:p>
    <w:p>
      <w:pPr>
        <w:spacing w:before="0" w:after="100"/>
      </w:pPr>
      <w:r>
        <w:rPr>
          <w:rFonts w:ascii="Calibri" w:hAnsi="Calibri"/>
          <w:b w:val="0"/>
          <w:i w:val="0"/>
          <w:color w:val="333333"/>
          <w:sz w:val="21"/>
        </w:rPr>
        <w:t>Henry has often heard things about divorce law from friends, colleagues, and online searches that are partly or entirely wrong. This pillar corrects the record on:</w:t>
      </w:r>
    </w:p>
    <w:p>
      <w:pPr>
        <w:pStyle w:val="ListBullet"/>
        <w:spacing w:before="0" w:after="60"/>
        <w:ind w:left="288"/>
      </w:pPr>
      <w:r>
        <w:rPr>
          <w:rFonts w:ascii="Calibri" w:hAnsi="Calibri"/>
          <w:b w:val="0"/>
          <w:i w:val="0"/>
          <w:color w:val="333333"/>
          <w:sz w:val="21"/>
        </w:rPr>
        <w:t>How Kentucky and Indiana courts actually handle custody determinations</w:t>
      </w:r>
    </w:p>
    <w:p>
      <w:pPr>
        <w:pStyle w:val="ListBullet"/>
        <w:spacing w:before="0" w:after="60"/>
        <w:ind w:left="288"/>
      </w:pPr>
      <w:r>
        <w:rPr>
          <w:rFonts w:ascii="Calibri" w:hAnsi="Calibri"/>
          <w:b w:val="0"/>
          <w:i w:val="0"/>
          <w:color w:val="333333"/>
          <w:sz w:val="21"/>
        </w:rPr>
        <w:t>What "equitable distribution" actually means vs. what people think it means</w:t>
      </w:r>
    </w:p>
    <w:p>
      <w:pPr>
        <w:pStyle w:val="ListBullet"/>
        <w:spacing w:before="0" w:after="60"/>
        <w:ind w:left="288"/>
      </w:pPr>
      <w:r>
        <w:rPr>
          <w:rFonts w:ascii="Calibri" w:hAnsi="Calibri"/>
          <w:b w:val="0"/>
          <w:i w:val="0"/>
          <w:color w:val="333333"/>
          <w:sz w:val="21"/>
        </w:rPr>
        <w:t>How prenuptial agreements hold up — and when they don't</w:t>
      </w:r>
    </w:p>
    <w:p>
      <w:pPr>
        <w:pStyle w:val="ListBullet"/>
        <w:spacing w:before="0" w:after="60"/>
        <w:ind w:left="288"/>
      </w:pPr>
      <w:r>
        <w:rPr>
          <w:rFonts w:ascii="Calibri" w:hAnsi="Calibri"/>
          <w:b w:val="0"/>
          <w:i w:val="0"/>
          <w:color w:val="333333"/>
          <w:sz w:val="21"/>
        </w:rPr>
        <w:t>Father's rights mythology vs. legal reality</w:t>
      </w:r>
    </w:p>
    <w:p>
      <w:pPr>
        <w:pStyle w:val="ListBullet"/>
        <w:spacing w:before="0" w:after="60"/>
        <w:ind w:left="288"/>
      </w:pPr>
      <w:r>
        <w:rPr>
          <w:rFonts w:ascii="Calibri" w:hAnsi="Calibri"/>
          <w:b w:val="0"/>
          <w:i w:val="0"/>
          <w:color w:val="333333"/>
          <w:sz w:val="21"/>
        </w:rPr>
        <w:t>Grandparents' rights: when they apply and when they don't</w:t>
      </w:r>
    </w:p>
    <w:p>
      <w:pPr>
        <w:spacing w:before="0" w:after="100"/>
      </w:pPr>
      <w:r>
        <w:rPr>
          <w:rFonts w:ascii="Calibri" w:hAnsi="Calibri"/>
          <w:b w:val="0"/>
          <w:i w:val="0"/>
          <w:color w:val="333333"/>
          <w:sz w:val="21"/>
        </w:rPr>
        <w:t>This pillar serves B2/E2 — it reframes the lens Henry is using to evaluate his options and positions Thomas as the definitive source of accurate information.</w:t>
      </w:r>
    </w:p>
    <w:p>
      <w:pPr>
        <w:spacing w:before="160" w:after="40"/>
      </w:pPr>
      <w:r>
        <w:rPr>
          <w:rFonts w:ascii="Calibri" w:hAnsi="Calibri"/>
          <w:b/>
          <w:color w:val="1A2533"/>
          <w:sz w:val="21"/>
        </w:rPr>
        <w:t>Pillar 3 — The Credential Narrative (Trust Architecture)</w:t>
      </w:r>
    </w:p>
    <w:p>
      <w:pPr>
        <w:spacing w:before="0" w:after="100"/>
      </w:pPr>
      <w:r>
        <w:rPr>
          <w:rFonts w:ascii="Calibri" w:hAnsi="Calibri"/>
          <w:b w:val="0"/>
          <w:i w:val="0"/>
          <w:color w:val="333333"/>
          <w:sz w:val="21"/>
        </w:rPr>
        <w:t>This is Thomas's biography told through a content lens. It does not read as a resume. It reads as a story with a point:</w:t>
      </w:r>
    </w:p>
    <w:p>
      <w:pPr>
        <w:pStyle w:val="ListBullet"/>
        <w:spacing w:before="0" w:after="60"/>
        <w:ind w:left="288"/>
      </w:pPr>
      <w:r>
        <w:rPr>
          <w:rFonts w:ascii="Calibri" w:hAnsi="Calibri"/>
          <w:b w:val="0"/>
          <w:i w:val="0"/>
          <w:color w:val="333333"/>
          <w:sz w:val="21"/>
        </w:rPr>
        <w:t>Why the AAML Fellowship matters when you have a business at stake</w:t>
      </w:r>
    </w:p>
    <w:p>
      <w:pPr>
        <w:pStyle w:val="ListBullet"/>
        <w:spacing w:before="0" w:after="60"/>
        <w:ind w:left="288"/>
      </w:pPr>
      <w:r>
        <w:rPr>
          <w:rFonts w:ascii="Calibri" w:hAnsi="Calibri"/>
          <w:b w:val="0"/>
          <w:i w:val="0"/>
          <w:color w:val="333333"/>
          <w:sz w:val="21"/>
        </w:rPr>
        <w:t>What 17 years exclusively in family law means vs. a generalist with family law as one of eight practice areas</w:t>
      </w:r>
    </w:p>
    <w:p>
      <w:pPr>
        <w:pStyle w:val="ListBullet"/>
        <w:spacing w:before="0" w:after="60"/>
        <w:ind w:left="288"/>
      </w:pPr>
      <w:r>
        <w:rPr>
          <w:rFonts w:ascii="Calibri" w:hAnsi="Calibri"/>
          <w:b w:val="0"/>
          <w:i w:val="0"/>
          <w:color w:val="333333"/>
          <w:sz w:val="21"/>
        </w:rPr>
        <w:t>The accounting background: how it started, what it changed, what it enables in a contested case</w:t>
      </w:r>
    </w:p>
    <w:p>
      <w:pPr>
        <w:pStyle w:val="ListBullet"/>
        <w:spacing w:before="0" w:after="60"/>
        <w:ind w:left="288"/>
      </w:pPr>
      <w:r>
        <w:rPr>
          <w:rFonts w:ascii="Calibri" w:hAnsi="Calibri"/>
          <w:b w:val="0"/>
          <w:i w:val="0"/>
          <w:color w:val="333333"/>
          <w:sz w:val="21"/>
        </w:rPr>
        <w:t>Super Lawyers and AV Preeminent: what those recognitions actually measure and why they matter to the non-attorney</w:t>
      </w:r>
    </w:p>
    <w:p>
      <w:pPr>
        <w:spacing w:before="0" w:after="100"/>
      </w:pPr>
      <w:r>
        <w:rPr>
          <w:rFonts w:ascii="Calibri" w:hAnsi="Calibri"/>
          <w:b w:val="0"/>
          <w:i w:val="0"/>
          <w:color w:val="333333"/>
          <w:sz w:val="21"/>
        </w:rPr>
        <w:t>This pillar serves B4/E4 — it provides the Internal Alignment and Urgency content that converts a prospect who understands the need into a prospect who understands why Thomas specifically.</w:t>
      </w:r>
    </w:p>
    <w:p>
      <w:pPr>
        <w:spacing w:before="160" w:after="40"/>
      </w:pPr>
      <w:r>
        <w:rPr>
          <w:rFonts w:ascii="Calibri" w:hAnsi="Calibri"/>
          <w:b/>
          <w:color w:val="1A2533"/>
          <w:sz w:val="21"/>
        </w:rPr>
        <w:t>Pillar 4 — Decision-Support Content (Conversion)</w:t>
      </w:r>
    </w:p>
    <w:p>
      <w:pPr>
        <w:spacing w:before="0" w:after="100"/>
      </w:pPr>
      <w:r>
        <w:rPr>
          <w:rFonts w:ascii="Calibri" w:hAnsi="Calibri"/>
          <w:b w:val="0"/>
          <w:i w:val="0"/>
          <w:color w:val="333333"/>
          <w:sz w:val="21"/>
        </w:rPr>
        <w:t>Content that meets Henry where he is when he is closest to making a decision:</w:t>
      </w:r>
    </w:p>
    <w:p>
      <w:pPr>
        <w:pStyle w:val="ListBullet"/>
        <w:spacing w:before="0" w:after="60"/>
        <w:ind w:left="288"/>
      </w:pPr>
      <w:r>
        <w:rPr>
          <w:rFonts w:ascii="Calibri" w:hAnsi="Calibri"/>
          <w:b w:val="0"/>
          <w:i w:val="0"/>
          <w:color w:val="333333"/>
          <w:sz w:val="21"/>
        </w:rPr>
        <w:t>"How to Choose a Family Law Attorney When Your Business Is at Stake"</w:t>
      </w:r>
    </w:p>
    <w:p>
      <w:pPr>
        <w:pStyle w:val="ListBullet"/>
        <w:spacing w:before="0" w:after="60"/>
        <w:ind w:left="288"/>
      </w:pPr>
      <w:r>
        <w:rPr>
          <w:rFonts w:ascii="Calibri" w:hAnsi="Calibri"/>
          <w:b w:val="0"/>
          <w:i w:val="0"/>
          <w:color w:val="333333"/>
          <w:sz w:val="21"/>
        </w:rPr>
        <w:t>"What to Expect in Your First Consultation with a Family Law Attorney"</w:t>
      </w:r>
    </w:p>
    <w:p>
      <w:pPr>
        <w:pStyle w:val="ListBullet"/>
        <w:spacing w:before="0" w:after="60"/>
        <w:ind w:left="288"/>
      </w:pPr>
      <w:r>
        <w:rPr>
          <w:rFonts w:ascii="Calibri" w:hAnsi="Calibri"/>
          <w:b w:val="0"/>
          <w:i w:val="0"/>
          <w:color w:val="333333"/>
          <w:sz w:val="21"/>
        </w:rPr>
        <w:t>"Questions You Should Ask Before Retaining a Divorce Attorney in Kentucky"</w:t>
      </w:r>
    </w:p>
    <w:p>
      <w:pPr>
        <w:pStyle w:val="ListBullet"/>
        <w:spacing w:before="0" w:after="60"/>
        <w:ind w:left="288"/>
      </w:pPr>
      <w:r>
        <w:rPr>
          <w:rFonts w:ascii="Calibri" w:hAnsi="Calibri"/>
          <w:b w:val="0"/>
          <w:i w:val="0"/>
          <w:color w:val="333333"/>
          <w:sz w:val="21"/>
        </w:rPr>
        <w:t>"What Happens If You Wait Too Long to Retain Counsel in a High-Asset Divorce"</w:t>
      </w:r>
    </w:p>
    <w:p>
      <w:pPr>
        <w:spacing w:before="0" w:after="100"/>
      </w:pPr>
      <w:r>
        <w:rPr>
          <w:rFonts w:ascii="Calibri" w:hAnsi="Calibri"/>
          <w:b w:val="0"/>
          <w:i w:val="0"/>
          <w:color w:val="333333"/>
          <w:sz w:val="21"/>
        </w:rPr>
        <w:t>This pillar serves B5/E5 — it converts certainty into relief and positions the consultation as the natural, obvious, safe next step.</w:t>
      </w:r>
    </w:p>
    <w:p>
      <w:pPr>
        <w:shd w:fill="F5F5F5" w:color="auto" w:val="clear"/>
        <w:spacing w:before="200" w:after="40"/>
      </w:pPr>
      <w:r>
        <w:rPr>
          <w:rFonts w:ascii="Calibri" w:hAnsi="Calibri"/>
          <w:b/>
          <w:color w:val="58585A"/>
          <w:sz w:val="22"/>
        </w:rPr>
        <w:t xml:space="preserve">  Channel Strategy</w:t>
      </w:r>
    </w:p>
    <w:p>
      <w:pPr>
        <w:spacing w:before="160" w:after="40"/>
      </w:pPr>
      <w:r>
        <w:rPr>
          <w:rFonts w:ascii="Calibri" w:hAnsi="Calibri"/>
          <w:b/>
          <w:color w:val="1A2533"/>
          <w:sz w:val="21"/>
        </w:rPr>
        <w:t>Blog / KentuckianaDivorceLawyer.com (Primary SEO Channel)</w:t>
      </w:r>
    </w:p>
    <w:p>
      <w:pPr>
        <w:spacing w:before="0" w:after="100"/>
      </w:pPr>
      <w:r>
        <w:rPr>
          <w:rFonts w:ascii="Calibri" w:hAnsi="Calibri"/>
          <w:b w:val="0"/>
          <w:i w:val="0"/>
          <w:color w:val="333333"/>
          <w:sz w:val="21"/>
        </w:rPr>
        <w:t>The blog is the SEO and authority foundation. Every piece published here serves two functions: it captures organic search traffic on target keywords, and it provides shareable, linkable content for LinkedIn and the CPA referral network. Blog content is written at a professional level — not dumbed down. High-Stakes Henry is an executive. He reads carefully and he notices when content is written for someone less sophisticated than he is.</w:t>
      </w:r>
    </w:p>
    <w:p>
      <w:pPr>
        <w:spacing w:before="0" w:after="100"/>
      </w:pPr>
      <w:r>
        <w:rPr>
          <w:rFonts w:ascii="Calibri" w:hAnsi="Calibri"/>
          <w:b w:val="0"/>
          <w:i w:val="0"/>
          <w:color w:val="333333"/>
          <w:sz w:val="21"/>
        </w:rPr>
        <w:t>Cadence: Two posts per month minimum through Q2 and Q3. One post per month in Q4 (maintenance mode once the library is built). Total target: 16–20 posts in Year 1.</w:t>
      </w:r>
    </w:p>
    <w:p>
      <w:pPr>
        <w:spacing w:before="160" w:after="40"/>
      </w:pPr>
      <w:r>
        <w:rPr>
          <w:rFonts w:ascii="Calibri" w:hAnsi="Calibri"/>
          <w:b/>
          <w:color w:val="1A2533"/>
          <w:sz w:val="21"/>
        </w:rPr>
        <w:t>LinkedIn (Referral Partner and Direct Client Channel)</w:t>
      </w:r>
    </w:p>
    <w:p>
      <w:pPr>
        <w:spacing w:before="0" w:after="100"/>
      </w:pPr>
      <w:r>
        <w:rPr>
          <w:rFonts w:ascii="Calibri" w:hAnsi="Calibri"/>
          <w:b w:val="0"/>
          <w:i w:val="0"/>
          <w:color w:val="333333"/>
          <w:sz w:val="21"/>
        </w:rPr>
        <w:t>LinkedIn is the highest-priority social channel for Thomas's avatar. It serves both the direct client audience (executives and business owners) and the referral partner audience (CPAs, financial advisors, wealth managers) simultaneously. No other platform offers this dual-audience reach at the professional level.</w:t>
      </w:r>
    </w:p>
    <w:p>
      <w:pPr>
        <w:spacing w:before="0" w:after="100"/>
      </w:pPr>
      <w:r>
        <w:rPr>
          <w:rFonts w:ascii="Calibri" w:hAnsi="Calibri"/>
          <w:b w:val="0"/>
          <w:i w:val="0"/>
          <w:color w:val="333333"/>
          <w:sz w:val="21"/>
        </w:rPr>
        <w:t>Cadence: Two to three posts per week. Mix of short-form posts (150–300 words, direct point, no filler), occasional long-form articles (800–1,200 words, published natively), and short video clips (when video content is produced in Q3).</w:t>
      </w:r>
    </w:p>
    <w:p>
      <w:pPr>
        <w:spacing w:before="0" w:after="100"/>
      </w:pPr>
      <w:r>
        <w:rPr>
          <w:rFonts w:ascii="Calibri" w:hAnsi="Calibri"/>
          <w:b w:val="0"/>
          <w:i w:val="0"/>
          <w:color w:val="333333"/>
          <w:sz w:val="21"/>
        </w:rPr>
        <w:t>Voice: Thomas's direct, credentialed voice. Not performative authority. Not "thought leadership for the sake of it." Posts make a specific point about a specific aspect of high-asset family law that only someone with Thomas's background can make credibly.</w:t>
      </w:r>
    </w:p>
    <w:p>
      <w:pPr>
        <w:spacing w:before="160" w:after="40"/>
      </w:pPr>
      <w:r>
        <w:rPr>
          <w:rFonts w:ascii="Calibri" w:hAnsi="Calibri"/>
          <w:b/>
          <w:color w:val="1A2533"/>
          <w:sz w:val="21"/>
        </w:rPr>
        <w:t>YouTube (Authority Amplification, Q3+)</w:t>
      </w:r>
    </w:p>
    <w:p>
      <w:pPr>
        <w:spacing w:before="0" w:after="100"/>
      </w:pPr>
      <w:r>
        <w:rPr>
          <w:rFonts w:ascii="Calibri" w:hAnsi="Calibri"/>
          <w:b w:val="0"/>
          <w:i w:val="0"/>
          <w:color w:val="333333"/>
          <w:sz w:val="21"/>
        </w:rPr>
        <w:t>YouTube content extends the authority signals from the blog and LinkedIn into a format that dramatically increases trust and conversion. Video versions of the pillar content — particularly the forensic accounting explainers and the AAML Fellowship explanation — will significantly accelerate the conversion of high-intent prospects who are in the B3/E3 to B5/E5 range. A prospect who has watched a 7-minute video of Thomas explaining how contested business valuations work in Kentucky courts does not need a hard sell in a consultation.</w:t>
      </w:r>
    </w:p>
    <w:p>
      <w:pPr>
        <w:spacing w:before="0" w:after="100"/>
      </w:pPr>
      <w:r>
        <w:rPr>
          <w:rFonts w:ascii="Calibri" w:hAnsi="Calibri"/>
          <w:b w:val="0"/>
          <w:i w:val="0"/>
          <w:color w:val="333333"/>
          <w:sz w:val="21"/>
        </w:rPr>
        <w:t>Cadence: One video per month beginning in Q3. Four to six videos in Year 1 total.</w:t>
      </w:r>
    </w:p>
    <w:p>
      <w:pPr>
        <w:spacing w:before="160" w:after="40"/>
      </w:pPr>
      <w:r>
        <w:rPr>
          <w:rFonts w:ascii="Calibri" w:hAnsi="Calibri"/>
          <w:b/>
          <w:color w:val="1A2533"/>
          <w:sz w:val="21"/>
        </w:rPr>
        <w:t>Email (Nurture and Referral Channel)</w:t>
      </w:r>
    </w:p>
    <w:p>
      <w:pPr>
        <w:spacing w:before="0" w:after="100"/>
      </w:pPr>
      <w:r>
        <w:rPr>
          <w:rFonts w:ascii="Calibri" w:hAnsi="Calibri"/>
          <w:b w:val="0"/>
          <w:i w:val="0"/>
          <w:color w:val="333333"/>
          <w:sz w:val="21"/>
        </w:rPr>
        <w:t>Email serves two audiences: leads who have inquired but not yet booked (New Lead Nurture Sequence) and referral partners who have agreed to a connection but not yet referred (Referral Source Nurture Sequence). Both sequences are written in full in Section 10.</w:t>
      </w:r>
    </w:p>
    <w:p>
      <w:pPr>
        <w:shd w:fill="F5F5F5" w:color="auto" w:val="clear"/>
        <w:spacing w:before="200" w:after="40"/>
      </w:pPr>
      <w:r>
        <w:rPr>
          <w:rFonts w:ascii="Calibri" w:hAnsi="Calibri"/>
          <w:b/>
          <w:color w:val="58585A"/>
          <w:sz w:val="22"/>
        </w:rPr>
        <w:t xml:space="preserve">  Priority Content Pieces — Produce First</w:t>
      </w:r>
    </w:p>
    <w:p>
      <w:pPr>
        <w:spacing w:before="0" w:after="100"/>
      </w:pPr>
      <w:r>
        <w:rPr>
          <w:rFonts w:ascii="Calibri" w:hAnsi="Calibri"/>
          <w:b w:val="0"/>
          <w:i w:val="0"/>
          <w:color w:val="333333"/>
          <w:sz w:val="21"/>
        </w:rPr>
        <w:t>These are the five content pieces that move the needle fastest for Thomas's specific situation. They should be produced before any other content and published as soon as the sites are live:</w:t>
      </w:r>
    </w:p>
    <w:p>
      <w:pPr>
        <w:pStyle w:val="ListNumber"/>
        <w:spacing w:before="0" w:after="60"/>
        <w:ind w:left="288"/>
      </w:pPr>
      <w:r>
        <w:rPr>
          <w:rFonts w:ascii="Calibri" w:hAnsi="Calibri"/>
          <w:b w:val="0"/>
          <w:i w:val="0"/>
          <w:color w:val="333333"/>
          <w:sz w:val="21"/>
        </w:rPr>
      </w:r>
      <w:r>
        <w:rPr>
          <w:rFonts w:ascii="Calibri" w:hAnsi="Calibri"/>
          <w:b/>
          <w:i w:val="0"/>
          <w:color w:val="333333"/>
          <w:sz w:val="21"/>
        </w:rPr>
        <w:t>"What an AAML Fellow Can Do in Your High-Asset Divorce That Most Attorneys Can't"</w:t>
      </w:r>
      <w:r>
        <w:rPr>
          <w:rFonts w:ascii="Calibri" w:hAnsi="Calibri"/>
          <w:b w:val="0"/>
          <w:i w:val="0"/>
          <w:color w:val="333333"/>
          <w:sz w:val="21"/>
        </w:rPr>
        <w:t xml:space="preserve"> — Homepage-linked cornerstone content. Directly addresses the Enemy Belief, delivers the Pre-Frame and New Worldview in one piece. This is the article that earns the consultation for every Henry who reaches the site.</w:t>
      </w:r>
    </w:p>
    <w:p>
      <w:pPr>
        <w:pStyle w:val="ListNumber"/>
        <w:spacing w:before="0" w:after="60"/>
        <w:ind w:left="288"/>
      </w:pPr>
      <w:r>
        <w:rPr>
          <w:rFonts w:ascii="Calibri" w:hAnsi="Calibri"/>
          <w:b w:val="0"/>
          <w:i w:val="0"/>
          <w:color w:val="333333"/>
          <w:sz w:val="21"/>
        </w:rPr>
      </w:r>
      <w:r>
        <w:rPr>
          <w:rFonts w:ascii="Calibri" w:hAnsi="Calibri"/>
          <w:b/>
          <w:i w:val="0"/>
          <w:color w:val="333333"/>
          <w:sz w:val="21"/>
        </w:rPr>
        <w:t>"How Business Valuation Actually Works in a Kentucky Divorce"</w:t>
      </w:r>
      <w:r>
        <w:rPr>
          <w:rFonts w:ascii="Calibri" w:hAnsi="Calibri"/>
          <w:b w:val="0"/>
          <w:i w:val="0"/>
          <w:color w:val="333333"/>
          <w:sz w:val="21"/>
        </w:rPr>
        <w:t xml:space="preserve"> — Primary SEO target piece for the highest-value keyword in Thomas's arsenal. Long-form (1,500–2,000 words), richly detailed, written in Thomas's voice. Demonstrates the forensic accounting expertise in practice.</w:t>
      </w:r>
    </w:p>
    <w:p>
      <w:pPr>
        <w:pStyle w:val="ListNumber"/>
        <w:spacing w:before="0" w:after="60"/>
        <w:ind w:left="288"/>
      </w:pPr>
      <w:r>
        <w:rPr>
          <w:rFonts w:ascii="Calibri" w:hAnsi="Calibri"/>
          <w:b w:val="0"/>
          <w:i w:val="0"/>
          <w:color w:val="333333"/>
          <w:sz w:val="21"/>
        </w:rPr>
      </w:r>
      <w:r>
        <w:rPr>
          <w:rFonts w:ascii="Calibri" w:hAnsi="Calibri"/>
          <w:b/>
          <w:i w:val="0"/>
          <w:color w:val="333333"/>
          <w:sz w:val="21"/>
        </w:rPr>
        <w:t>The About Page</w:t>
      </w:r>
      <w:r>
        <w:rPr>
          <w:rFonts w:ascii="Calibri" w:hAnsi="Calibri"/>
          <w:b w:val="0"/>
          <w:i w:val="0"/>
          <w:color w:val="333333"/>
          <w:sz w:val="21"/>
        </w:rPr>
        <w:t xml:space="preserve"> — Not technically a blog post, but the About page on both sites is the highest-read page after the homepage for attorney clients. Thomas's full biography, credential narrative, and forensic accounting backstory. Written to move Henry from curiosity to conviction.</w:t>
      </w:r>
    </w:p>
    <w:p>
      <w:pPr>
        <w:pStyle w:val="ListNumber"/>
        <w:spacing w:before="0" w:after="60"/>
        <w:ind w:left="288"/>
      </w:pPr>
      <w:r>
        <w:rPr>
          <w:rFonts w:ascii="Calibri" w:hAnsi="Calibri"/>
          <w:b w:val="0"/>
          <w:i w:val="0"/>
          <w:color w:val="333333"/>
          <w:sz w:val="21"/>
        </w:rPr>
      </w:r>
      <w:r>
        <w:rPr>
          <w:rFonts w:ascii="Calibri" w:hAnsi="Calibri"/>
          <w:b/>
          <w:i w:val="0"/>
          <w:color w:val="333333"/>
          <w:sz w:val="21"/>
        </w:rPr>
        <w:t>"Finding Hidden Assets in a Kentucky Divorce: What Forensic Accounting Actually Looks Like"</w:t>
      </w:r>
      <w:r>
        <w:rPr>
          <w:rFonts w:ascii="Calibri" w:hAnsi="Calibri"/>
          <w:b w:val="0"/>
          <w:i w:val="0"/>
          <w:color w:val="333333"/>
          <w:sz w:val="21"/>
        </w:rPr>
        <w:t xml:space="preserve"> — High-intent searcher content. Business owners going through divorce are actively searching for this information. This article brings them in at B3/E3 — they already know they have a complex situation. Thomas's response to that search positions him as the credible guide.</w:t>
      </w:r>
    </w:p>
    <w:p>
      <w:pPr>
        <w:pStyle w:val="ListNumber"/>
        <w:spacing w:before="0" w:after="60"/>
        <w:ind w:left="288"/>
      </w:pPr>
      <w:r>
        <w:rPr>
          <w:rFonts w:ascii="Calibri" w:hAnsi="Calibri"/>
          <w:b w:val="0"/>
          <w:i w:val="0"/>
          <w:color w:val="333333"/>
          <w:sz w:val="21"/>
        </w:rPr>
      </w:r>
      <w:r>
        <w:rPr>
          <w:rFonts w:ascii="Calibri" w:hAnsi="Calibri"/>
          <w:b/>
          <w:i w:val="0"/>
          <w:color w:val="333333"/>
          <w:sz w:val="21"/>
        </w:rPr>
        <w:t>LinkedIn Post: The Accounting Background Story</w:t>
      </w:r>
      <w:r>
        <w:rPr>
          <w:rFonts w:ascii="Calibri" w:hAnsi="Calibri"/>
          <w:b w:val="0"/>
          <w:i w:val="0"/>
          <w:color w:val="333333"/>
          <w:sz w:val="21"/>
        </w:rPr>
        <w:t xml:space="preserve"> — The first LinkedIn post in the campaign. Thomas's personal story, in his own voice, about what it meant to go from accounting at Baptist Hospital East to family law — and what that combination allows him to do that most attorneys cannot. This is the relationship-builder with CPAs and the credential signal for business owners simultaneously.</w:t>
      </w:r>
    </w:p>
    <w:p>
      <w:pPr>
        <w:shd w:fill="F5F5F5" w:color="auto" w:val="clear"/>
        <w:spacing w:before="200" w:after="40"/>
      </w:pPr>
      <w:r>
        <w:rPr>
          <w:rFonts w:ascii="Calibri" w:hAnsi="Calibri"/>
          <w:b/>
          <w:color w:val="58585A"/>
          <w:sz w:val="22"/>
        </w:rPr>
        <w:t xml:space="preserve">  Hook Angles Specific to High-Stakes Henry</w:t>
      </w:r>
    </w:p>
    <w:p>
      <w:pPr>
        <w:spacing w:before="0" w:after="100"/>
      </w:pPr>
      <w:r>
        <w:rPr>
          <w:rFonts w:ascii="Calibri" w:hAnsi="Calibri"/>
          <w:b w:val="0"/>
          <w:i w:val="0"/>
          <w:color w:val="333333"/>
          <w:sz w:val="21"/>
        </w:rPr>
        <w:t>These are the hook directions that stop Henry mid-scroll because they name his situation exactly:</w:t>
      </w:r>
    </w:p>
    <w:p>
      <w:pPr>
        <w:pStyle w:val="ListBullet"/>
        <w:spacing w:before="0" w:after="60"/>
        <w:ind w:left="288"/>
      </w:pPr>
      <w:r>
        <w:rPr>
          <w:rFonts w:ascii="Calibri" w:hAnsi="Calibri"/>
          <w:b w:val="0"/>
          <w:i w:val="0"/>
          <w:color w:val="333333"/>
          <w:sz w:val="21"/>
        </w:rPr>
        <w:t>"Your spouse retained an attorney three weeks ago. Your business is already on the opposing counsel's radar."</w:t>
      </w:r>
    </w:p>
    <w:p>
      <w:pPr>
        <w:pStyle w:val="ListBullet"/>
        <w:spacing w:before="0" w:after="60"/>
        <w:ind w:left="288"/>
      </w:pPr>
      <w:r>
        <w:rPr>
          <w:rFonts w:ascii="Calibri" w:hAnsi="Calibri"/>
          <w:b w:val="0"/>
          <w:i w:val="0"/>
          <w:color w:val="333333"/>
          <w:sz w:val="21"/>
        </w:rPr>
        <w:t>"Most family law attorneys will hire an expert to value your business. I'll read it myself."</w:t>
      </w:r>
    </w:p>
    <w:p>
      <w:pPr>
        <w:pStyle w:val="ListBullet"/>
        <w:spacing w:before="0" w:after="60"/>
        <w:ind w:left="288"/>
      </w:pPr>
      <w:r>
        <w:rPr>
          <w:rFonts w:ascii="Calibri" w:hAnsi="Calibri"/>
          <w:b w:val="0"/>
          <w:i w:val="0"/>
          <w:color w:val="333333"/>
          <w:sz w:val="21"/>
        </w:rPr>
        <w:t>"The AAML Fellowship is held by fewer than 1,600 attorneys in the world. This is what it requires — and why it matters when your assets are at stake."</w:t>
      </w:r>
    </w:p>
    <w:p>
      <w:pPr>
        <w:pStyle w:val="ListBullet"/>
        <w:spacing w:before="0" w:after="60"/>
        <w:ind w:left="288"/>
      </w:pPr>
      <w:r>
        <w:rPr>
          <w:rFonts w:ascii="Calibri" w:hAnsi="Calibri"/>
          <w:b w:val="0"/>
          <w:i w:val="0"/>
          <w:color w:val="333333"/>
          <w:sz w:val="21"/>
        </w:rPr>
        <w:t>"What the first 30 days of a high-asset divorce look like when you have the wrong attorney vs. the right one."</w:t>
      </w:r>
    </w:p>
    <w:p>
      <w:pPr>
        <w:pStyle w:val="ListBullet"/>
        <w:spacing w:before="0" w:after="60"/>
        <w:ind w:left="288"/>
      </w:pPr>
      <w:r>
        <w:rPr>
          <w:rFonts w:ascii="Calibri" w:hAnsi="Calibri"/>
          <w:b w:val="0"/>
          <w:i w:val="0"/>
          <w:color w:val="333333"/>
          <w:sz w:val="21"/>
        </w:rPr>
        <w:t>"Your CPA can't protect you in court. But the right attorney can speak their language."</w:t>
      </w:r>
    </w:p>
    <w:p>
      <w:pPr>
        <w:pStyle w:val="ListBullet"/>
        <w:spacing w:before="0" w:after="60"/>
        <w:ind w:left="288"/>
      </w:pPr>
      <w:r>
        <w:rPr>
          <w:rFonts w:ascii="Calibri" w:hAnsi="Calibri"/>
          <w:b w:val="0"/>
          <w:i w:val="0"/>
          <w:color w:val="333333"/>
          <w:sz w:val="21"/>
        </w:rPr>
        <w:t>"17 years in family law, exclusively. Zero cases involving anything other than family law. Here's why that matters to you."</w:t>
      </w:r>
    </w:p>
    <w:p>
      <w:pPr>
        <w:pStyle w:val="ListBullet"/>
        <w:spacing w:before="0" w:after="60"/>
        <w:ind w:left="288"/>
      </w:pPr>
      <w:r>
        <w:rPr>
          <w:rFonts w:ascii="Calibri" w:hAnsi="Calibri"/>
          <w:b w:val="0"/>
          <w:i w:val="0"/>
          <w:color w:val="333333"/>
          <w:sz w:val="21"/>
        </w:rPr>
        <w:t>"The number one mistake business owners make when they find out their spouse has hired an attorney."</w:t>
      </w:r>
    </w:p>
    <w:p>
      <w:pPr>
        <w:spacing w:before="160" w:after="80"/>
      </w:pPr>
      <w:r>
        <w:rPr>
          <w:rFonts w:ascii="Calibri" w:hAnsi="Calibri"/>
          <w:i/>
          <w:color w:val="888888"/>
          <w:sz w:val="18"/>
        </w:rPr>
        <w:t>— Vivienne Carr, CMO,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09</w:t>
            </w:r>
          </w:p>
        </w:tc>
        <w:tc>
          <w:tcPr>
            <w:tcW w:type="dxa" w:w="4680"/>
            <w:shd w:fill="005A5A" w:color="auto" w:val="clear"/>
          </w:tcPr>
          <w:p>
            <w:pPr>
              <w:spacing w:before="120" w:after="120"/>
            </w:pPr>
            <w:r>
              <w:rPr>
                <w:rFonts w:ascii="Calibri" w:hAnsi="Calibri"/>
                <w:b/>
                <w:color w:val="FFFFFF"/>
                <w:sz w:val="22"/>
              </w:rPr>
              <w:t>Section 9: Niche Website Strategy</w:t>
            </w:r>
          </w:p>
        </w:tc>
      </w:tr>
    </w:tbl>
    <w:p>
      <w:pPr>
        <w:spacing w:before="0" w:after="120"/>
      </w:pPr>
    </w:p>
    <w:p>
      <w:pPr>
        <w:spacing w:before="40" w:after="80"/>
      </w:pPr>
      <w:r>
        <w:rPr>
          <w:rFonts w:ascii="Calibri" w:hAnsi="Calibri"/>
          <w:i/>
          <w:color w:val="58585A"/>
          <w:sz w:val="19"/>
        </w:rPr>
        <w:t>Prepared by Iris Nolan, Chief Technology Officer</w:t>
      </w:r>
    </w:p>
    <w:p>
      <w:pPr>
        <w:shd w:fill="F5F5F5" w:color="auto" w:val="clear"/>
        <w:spacing w:before="200" w:after="40"/>
      </w:pPr>
      <w:r>
        <w:rPr>
          <w:rFonts w:ascii="Calibri" w:hAnsi="Calibri"/>
          <w:b/>
          <w:color w:val="58585A"/>
          <w:sz w:val="22"/>
        </w:rPr>
        <w:t xml:space="preserve">  Two-Site Architecture — Strategic Logic</w:t>
      </w:r>
    </w:p>
    <w:p>
      <w:pPr>
        <w:spacing w:before="0" w:after="100"/>
      </w:pPr>
      <w:r>
        <w:rPr>
          <w:rFonts w:ascii="Calibri" w:hAnsi="Calibri"/>
          <w:b w:val="0"/>
          <w:i w:val="0"/>
          <w:color w:val="333333"/>
          <w:sz w:val="21"/>
        </w:rPr>
        <w:t>Thomas operates two personal websites serving geographically distinct markets with partly overlapping but differentiable positioning. This is the correct architecture — one site trying to serve both markets simultaneously would dilute the local SEO signals for both. The two-site approach allows Thomas to be the dominant authority in his respective local search footprint for each state.</w:t>
      </w:r>
    </w:p>
    <w:p>
      <w:pPr>
        <w:spacing w:before="0" w:after="100"/>
      </w:pPr>
      <w:r>
        <w:rPr>
          <w:rFonts w:ascii="Calibri" w:hAnsi="Calibri"/>
          <w:b w:val="0"/>
          <w:i w:val="0"/>
          <w:color w:val="333333"/>
          <w:sz w:val="21"/>
        </w:rPr>
      </w:r>
      <w:r>
        <w:rPr>
          <w:rFonts w:ascii="Calibri" w:hAnsi="Calibri"/>
          <w:b/>
          <w:i w:val="0"/>
          <w:color w:val="333333"/>
          <w:sz w:val="21"/>
        </w:rPr>
        <w:t>KentuckianaDivorceLawyer.com</w:t>
      </w:r>
      <w:r>
        <w:rPr>
          <w:rFonts w:ascii="Calibri" w:hAnsi="Calibri"/>
          <w:b w:val="0"/>
          <w:i w:val="0"/>
          <w:color w:val="333333"/>
          <w:sz w:val="21"/>
        </w:rPr>
        <w:t xml:space="preserve"> — Kentucky primary. Targets Louisville metro, Jefferson County, and statewide Kentucky high-asset cases. All content, schema, and NAP signals oriented to Louisville, KY.</w:t>
      </w:r>
    </w:p>
    <w:p>
      <w:pPr>
        <w:spacing w:before="0" w:after="100"/>
      </w:pPr>
      <w:r>
        <w:rPr>
          <w:rFonts w:ascii="Calibri" w:hAnsi="Calibri"/>
          <w:b w:val="0"/>
          <w:i w:val="0"/>
          <w:color w:val="333333"/>
          <w:sz w:val="21"/>
        </w:rPr>
      </w:r>
      <w:r>
        <w:rPr>
          <w:rFonts w:ascii="Calibri" w:hAnsi="Calibri"/>
          <w:b/>
          <w:i w:val="0"/>
          <w:color w:val="333333"/>
          <w:sz w:val="21"/>
        </w:rPr>
        <w:t>KentuckianaFamilyLawyer.com</w:t>
      </w:r>
      <w:r>
        <w:rPr>
          <w:rFonts w:ascii="Calibri" w:hAnsi="Calibri"/>
          <w:b w:val="0"/>
          <w:i w:val="0"/>
          <w:color w:val="333333"/>
          <w:sz w:val="21"/>
        </w:rPr>
        <w:t xml:space="preserve"> — Southern Indiana primary. Targets Clark, Floyd, and Harrison counties, with Jeffersonville, New Albany, and Clarksville as specific city targets. All content, schema, and NAP signals oriented to Southern Indiana.</w:t>
      </w:r>
    </w:p>
    <w:p>
      <w:pPr>
        <w:spacing w:before="0" w:after="100"/>
      </w:pPr>
      <w:r>
        <w:rPr>
          <w:rFonts w:ascii="Calibri" w:hAnsi="Calibri"/>
          <w:b w:val="0"/>
          <w:i w:val="0"/>
          <w:color w:val="333333"/>
          <w:sz w:val="21"/>
        </w:rPr>
        <w:t>The two sites share the same core credential story — Thomas is the same attorney — but the positioning, FAQ content, service page language, and SEO targeting must be differentiated to avoid cannibalization and to capture the local search intent that each market generates separately.</w:t>
      </w:r>
    </w:p>
    <w:p>
      <w:pPr>
        <w:shd w:fill="F5F5F5" w:color="auto" w:val="clear"/>
        <w:spacing w:before="200" w:after="40"/>
      </w:pPr>
      <w:r>
        <w:rPr>
          <w:rFonts w:ascii="Calibri" w:hAnsi="Calibri"/>
          <w:b/>
          <w:color w:val="58585A"/>
          <w:sz w:val="22"/>
        </w:rPr>
        <w:t xml:space="preserve">  KentuckianaDivorceLawyer.com — Kentucky Site</w:t>
      </w:r>
    </w:p>
    <w:p>
      <w:pPr>
        <w:spacing w:before="160" w:after="40"/>
      </w:pPr>
      <w:r>
        <w:rPr>
          <w:rFonts w:ascii="Calibri" w:hAnsi="Calibri"/>
          <w:b/>
          <w:color w:val="1A2533"/>
          <w:sz w:val="21"/>
        </w:rPr>
        <w:t>Current Status and Priority Fixes</w:t>
      </w:r>
    </w:p>
    <w:p>
      <w:pPr>
        <w:spacing w:before="0" w:after="100"/>
      </w:pPr>
      <w:r>
        <w:rPr>
          <w:rFonts w:ascii="Calibri" w:hAnsi="Calibri"/>
          <w:b w:val="0"/>
          <w:i w:val="0"/>
          <w:color w:val="333333"/>
          <w:sz w:val="21"/>
        </w:rPr>
        <w:t>This is a single-page Divi build in what appears to be a staging or near-complete state. Priority technical and content fixes before any content strategy can be built on top:</w:t>
      </w:r>
    </w:p>
    <w:p>
      <w:pPr>
        <w:pStyle w:val="ListNumber"/>
        <w:spacing w:before="0" w:after="60"/>
        <w:ind w:left="288"/>
      </w:pPr>
      <w:r>
        <w:rPr>
          <w:rFonts w:ascii="Calibri" w:hAnsi="Calibri"/>
          <w:b w:val="0"/>
          <w:i w:val="0"/>
          <w:color w:val="333333"/>
          <w:sz w:val="21"/>
        </w:rPr>
      </w:r>
      <w:r>
        <w:rPr>
          <w:rFonts w:ascii="Calibri" w:hAnsi="Calibri"/>
          <w:b/>
          <w:i w:val="0"/>
          <w:color w:val="333333"/>
          <w:sz w:val="21"/>
        </w:rPr>
        <w:t>FAQ Error (Critical — Fix First):</w:t>
      </w:r>
      <w:r>
        <w:rPr>
          <w:rFonts w:ascii="Calibri" w:hAnsi="Calibri"/>
          <w:b w:val="0"/>
          <w:i w:val="0"/>
          <w:color w:val="333333"/>
          <w:sz w:val="21"/>
        </w:rPr>
        <w:t xml:space="preserve"> Question 2 on the current FAQ discusses Indiana residency requirements. This is incorrect content on a Kentucky-targeted site and will actively harm both trust and SEO. This is corrected to Kentucky residency requirements and Kentucky-specific grounds for divorce.</w:t>
      </w:r>
    </w:p>
    <w:p>
      <w:pPr>
        <w:pStyle w:val="ListNumber"/>
        <w:spacing w:before="0" w:after="60"/>
        <w:ind w:left="288"/>
      </w:pPr>
      <w:r>
        <w:rPr>
          <w:rFonts w:ascii="Calibri" w:hAnsi="Calibri"/>
          <w:b w:val="0"/>
          <w:i w:val="0"/>
          <w:color w:val="333333"/>
          <w:sz w:val="21"/>
        </w:rPr>
      </w:r>
      <w:r>
        <w:rPr>
          <w:rFonts w:ascii="Calibri" w:hAnsi="Calibri"/>
          <w:b/>
          <w:i w:val="0"/>
          <w:color w:val="333333"/>
          <w:sz w:val="21"/>
        </w:rPr>
        <w:t>Credentials Block (Above Fold):</w:t>
      </w:r>
      <w:r>
        <w:rPr>
          <w:rFonts w:ascii="Calibri" w:hAnsi="Calibri"/>
          <w:b w:val="0"/>
          <w:i w:val="0"/>
          <w:color w:val="333333"/>
          <w:sz w:val="21"/>
        </w:rPr>
        <w:t xml:space="preserve"> A credentials block containing AAML Fellow badge/text, Super Lawyers 2021–2026 badge, AV Preeminent badge, and "17 Years Exclusively in Family Law" needs to appear on the homepage above the fold, ideally adjacent to Thomas's photo. These are third-party authority signals; they do the credibility work automatically for any informed searcher.</w:t>
      </w:r>
    </w:p>
    <w:p>
      <w:pPr>
        <w:pStyle w:val="ListNumber"/>
        <w:spacing w:before="0" w:after="60"/>
        <w:ind w:left="288"/>
      </w:pPr>
      <w:r>
        <w:rPr>
          <w:rFonts w:ascii="Calibri" w:hAnsi="Calibri"/>
          <w:b w:val="0"/>
          <w:i w:val="0"/>
          <w:color w:val="333333"/>
          <w:sz w:val="21"/>
        </w:rPr>
      </w:r>
      <w:r>
        <w:rPr>
          <w:rFonts w:ascii="Calibri" w:hAnsi="Calibri"/>
          <w:b/>
          <w:i w:val="0"/>
          <w:color w:val="333333"/>
          <w:sz w:val="21"/>
        </w:rPr>
        <w:t>Homepage Headline Rewrite:</w:t>
      </w:r>
      <w:r>
        <w:rPr>
          <w:rFonts w:ascii="Calibri" w:hAnsi="Calibri"/>
          <w:b w:val="0"/>
          <w:i w:val="0"/>
          <w:color w:val="333333"/>
          <w:sz w:val="21"/>
        </w:rPr>
        <w:t xml:space="preserve"> The current headline does not lead with the differentiated credential position. New hero headline: "Louisville's Only AAML Fellow Family Law Attorney — With a Background in Forensic Accounting." Subheadline: "17 years exclusively in family law. Licensed in Kentucky and Indiana. The attorney CPAs call when their clients face high-asset divorce." This headline is specific, credential-forward, and oriented to Thomas's exact competitive moat.</w:t>
      </w:r>
    </w:p>
    <w:p>
      <w:pPr>
        <w:pStyle w:val="ListNumber"/>
        <w:spacing w:before="0" w:after="60"/>
        <w:ind w:left="288"/>
      </w:pPr>
      <w:r>
        <w:rPr>
          <w:rFonts w:ascii="Calibri" w:hAnsi="Calibri"/>
          <w:b w:val="0"/>
          <w:i w:val="0"/>
          <w:color w:val="333333"/>
          <w:sz w:val="21"/>
        </w:rPr>
      </w:r>
      <w:r>
        <w:rPr>
          <w:rFonts w:ascii="Calibri" w:hAnsi="Calibri"/>
          <w:b/>
          <w:i w:val="0"/>
          <w:color w:val="333333"/>
          <w:sz w:val="21"/>
        </w:rPr>
        <w:t>About Page (Build From Scratch):</w:t>
      </w:r>
      <w:r>
        <w:rPr>
          <w:rFonts w:ascii="Calibri" w:hAnsi="Calibri"/>
          <w:b w:val="0"/>
          <w:i w:val="0"/>
          <w:color w:val="333333"/>
          <w:sz w:val="21"/>
        </w:rPr>
        <w:t xml:space="preserve"> Dedicated About page with Thomas's full biography, credential narrative, forensic accounting background story, education, bar admissions, and a personal statement about why he has never practiced anything other than family law for 17 years. This page is critical — it is the page that converts a researching prospect into a believer. It must be written to move Henry through the Belief Track, not serve as a resume.</w:t>
      </w:r>
    </w:p>
    <w:p>
      <w:pPr>
        <w:pStyle w:val="ListNumber"/>
        <w:spacing w:before="0" w:after="60"/>
        <w:ind w:left="288"/>
      </w:pPr>
      <w:r>
        <w:rPr>
          <w:rFonts w:ascii="Calibri" w:hAnsi="Calibri"/>
          <w:b w:val="0"/>
          <w:i w:val="0"/>
          <w:color w:val="333333"/>
          <w:sz w:val="21"/>
        </w:rPr>
      </w:r>
      <w:r>
        <w:rPr>
          <w:rFonts w:ascii="Calibri" w:hAnsi="Calibri"/>
          <w:b/>
          <w:i w:val="0"/>
          <w:color w:val="333333"/>
          <w:sz w:val="21"/>
        </w:rPr>
        <w:t>Service Pages (Build — Currently Missing):</w:t>
      </w:r>
      <w:r>
        <w:rPr>
          <w:rFonts w:ascii="Calibri" w:hAnsi="Calibri"/>
          <w:b w:val="0"/>
          <w:i w:val="0"/>
          <w:color w:val="333333"/>
          <w:sz w:val="21"/>
        </w:rPr>
        <w:t xml:space="preserve"> Minimum five dedicated service pages:</w:t>
      </w:r>
    </w:p>
    <w:p>
      <w:pPr>
        <w:pStyle w:val="ListBullet"/>
        <w:spacing w:before="0" w:after="60"/>
        <w:ind w:left="288"/>
      </w:pPr>
      <w:r>
        <w:rPr>
          <w:rFonts w:ascii="Calibri" w:hAnsi="Calibri"/>
          <w:b w:val="0"/>
          <w:i w:val="0"/>
          <w:color w:val="333333"/>
          <w:sz w:val="21"/>
        </w:rPr>
        <w:t>High-Asset Divorce in Kentucky</w:t>
      </w:r>
    </w:p>
    <w:p>
      <w:pPr>
        <w:pStyle w:val="ListBullet"/>
        <w:spacing w:before="0" w:after="60"/>
        <w:ind w:left="288"/>
      </w:pPr>
      <w:r>
        <w:rPr>
          <w:rFonts w:ascii="Calibri" w:hAnsi="Calibri"/>
          <w:b w:val="0"/>
          <w:i w:val="0"/>
          <w:color w:val="333333"/>
          <w:sz w:val="21"/>
        </w:rPr>
        <w:t>Business Valuation and Forensic Accounting in Divorce</w:t>
      </w:r>
    </w:p>
    <w:p>
      <w:pPr>
        <w:pStyle w:val="ListBullet"/>
        <w:spacing w:before="0" w:after="60"/>
        <w:ind w:left="288"/>
      </w:pPr>
      <w:r>
        <w:rPr>
          <w:rFonts w:ascii="Calibri" w:hAnsi="Calibri"/>
          <w:b w:val="0"/>
          <w:i w:val="0"/>
          <w:color w:val="333333"/>
          <w:sz w:val="21"/>
        </w:rPr>
        <w:t>Child Custody and Father's Rights in Kentucky</w:t>
      </w:r>
    </w:p>
    <w:p>
      <w:pPr>
        <w:pStyle w:val="ListBullet"/>
        <w:spacing w:before="0" w:after="60"/>
        <w:ind w:left="288"/>
      </w:pPr>
      <w:r>
        <w:rPr>
          <w:rFonts w:ascii="Calibri" w:hAnsi="Calibri"/>
          <w:b w:val="0"/>
          <w:i w:val="0"/>
          <w:color w:val="333333"/>
          <w:sz w:val="21"/>
        </w:rPr>
        <w:t>Property Division in Kentucky Divorce</w:t>
      </w:r>
    </w:p>
    <w:p>
      <w:pPr>
        <w:pStyle w:val="ListBullet"/>
        <w:spacing w:before="0" w:after="60"/>
        <w:ind w:left="288"/>
      </w:pPr>
      <w:r>
        <w:rPr>
          <w:rFonts w:ascii="Calibri" w:hAnsi="Calibri"/>
          <w:b w:val="0"/>
          <w:i w:val="0"/>
          <w:color w:val="333333"/>
          <w:sz w:val="21"/>
        </w:rPr>
        <w:t>Prenuptial and Postnuptial Agreements in Kentucky</w:t>
      </w:r>
    </w:p>
    <w:p>
      <w:pPr>
        <w:spacing w:before="0" w:after="100"/>
      </w:pPr>
      <w:r>
        <w:rPr>
          <w:rFonts w:ascii="Calibri" w:hAnsi="Calibri"/>
          <w:b w:val="0"/>
          <w:i w:val="0"/>
          <w:color w:val="333333"/>
          <w:sz w:val="21"/>
        </w:rPr>
        <w:t>Each service page is optimized for a specific target keyword cluster and written to address the avatar's Enemy Belief relevant to that service.</w:t>
      </w:r>
    </w:p>
    <w:p>
      <w:pPr>
        <w:pStyle w:val="ListNumber"/>
        <w:spacing w:before="0" w:after="60"/>
        <w:ind w:left="288"/>
      </w:pPr>
      <w:r>
        <w:rPr>
          <w:rFonts w:ascii="Calibri" w:hAnsi="Calibri"/>
          <w:b w:val="0"/>
          <w:i w:val="0"/>
          <w:color w:val="333333"/>
          <w:sz w:val="21"/>
        </w:rPr>
      </w:r>
      <w:r>
        <w:rPr>
          <w:rFonts w:ascii="Calibri" w:hAnsi="Calibri"/>
          <w:b/>
          <w:i w:val="0"/>
          <w:color w:val="333333"/>
          <w:sz w:val="21"/>
        </w:rPr>
        <w:t>Social Proof Section:</w:t>
      </w:r>
      <w:r>
        <w:rPr>
          <w:rFonts w:ascii="Calibri" w:hAnsi="Calibri"/>
          <w:b w:val="0"/>
          <w:i w:val="0"/>
          <w:color w:val="333333"/>
          <w:sz w:val="21"/>
        </w:rPr>
        <w:t xml:space="preserve"> Google review integration widget (auto-pulling from GBP once reviews exist) plus 3–4 handpicked written testimonials. Even with limited current reviews, this section establishes the category expectation before the review generation campaign fills it.</w:t>
      </w:r>
    </w:p>
    <w:p>
      <w:pPr>
        <w:spacing w:before="160" w:after="40"/>
      </w:pPr>
      <w:r>
        <w:rPr>
          <w:rFonts w:ascii="Calibri" w:hAnsi="Calibri"/>
          <w:b/>
          <w:color w:val="1A2533"/>
          <w:sz w:val="21"/>
        </w:rPr>
        <w:t>SEO Architecture — Kentucky Site</w:t>
      </w:r>
    </w:p>
    <w:p>
      <w:pPr>
        <w:spacing w:before="40" w:after="80"/>
      </w:pPr>
      <w:r>
        <w:rPr>
          <w:rFonts w:ascii="Calibri" w:hAnsi="Calibri"/>
          <w:i/>
          <w:color w:val="58585A"/>
          <w:sz w:val="19"/>
        </w:rPr>
        <w:t>Site structure:</w:t>
      </w:r>
    </w:p>
    <w:p>
      <w:pPr>
        <w:pStyle w:val="ListBullet"/>
        <w:spacing w:before="0" w:after="60"/>
        <w:ind w:left="288"/>
      </w:pPr>
      <w:r>
        <w:rPr>
          <w:rFonts w:ascii="Calibri" w:hAnsi="Calibri"/>
          <w:b w:val="0"/>
          <w:i w:val="0"/>
          <w:color w:val="333333"/>
          <w:sz w:val="21"/>
        </w:rPr>
        <w:t>Homepage → Service pages (internal links from homepage to each service page)</w:t>
      </w:r>
    </w:p>
    <w:p>
      <w:pPr>
        <w:pStyle w:val="ListBullet"/>
        <w:spacing w:before="0" w:after="60"/>
        <w:ind w:left="288"/>
      </w:pPr>
      <w:r>
        <w:rPr>
          <w:rFonts w:ascii="Calibri" w:hAnsi="Calibri"/>
          <w:b w:val="0"/>
          <w:i w:val="0"/>
          <w:color w:val="333333"/>
          <w:sz w:val="21"/>
        </w:rPr>
        <w:t>Service pages → Blog/Articles (internal links from service pages to relevant articles)</w:t>
      </w:r>
    </w:p>
    <w:p>
      <w:pPr>
        <w:pStyle w:val="ListBullet"/>
        <w:spacing w:before="0" w:after="60"/>
        <w:ind w:left="288"/>
      </w:pPr>
      <w:r>
        <w:rPr>
          <w:rFonts w:ascii="Calibri" w:hAnsi="Calibri"/>
          <w:b w:val="0"/>
          <w:i w:val="0"/>
          <w:color w:val="333333"/>
          <w:sz w:val="21"/>
        </w:rPr>
        <w:t>About page linked from homepage navigation</w:t>
      </w:r>
    </w:p>
    <w:p>
      <w:pPr>
        <w:pStyle w:val="ListBullet"/>
        <w:spacing w:before="0" w:after="60"/>
        <w:ind w:left="288"/>
      </w:pPr>
      <w:r>
        <w:rPr>
          <w:rFonts w:ascii="Calibri" w:hAnsi="Calibri"/>
          <w:b w:val="0"/>
          <w:i w:val="0"/>
          <w:color w:val="333333"/>
          <w:sz w:val="21"/>
        </w:rPr>
        <w:t>Blog/Articles linked from homepage navigation</w:t>
      </w:r>
    </w:p>
    <w:p>
      <w:pPr>
        <w:spacing w:before="40" w:after="80"/>
      </w:pPr>
      <w:r>
        <w:rPr>
          <w:rFonts w:ascii="Calibri" w:hAnsi="Calibri"/>
          <w:i/>
          <w:color w:val="58585A"/>
          <w:sz w:val="19"/>
        </w:rPr>
        <w:t>Schema markup:</w:t>
      </w:r>
    </w:p>
    <w:p>
      <w:pPr>
        <w:pStyle w:val="ListBullet"/>
        <w:spacing w:before="0" w:after="60"/>
        <w:ind w:left="288"/>
      </w:pPr>
      <w:r>
        <w:rPr>
          <w:rFonts w:ascii="Calibri" w:hAnsi="Calibri"/>
          <w:b w:val="0"/>
          <w:i w:val="0"/>
          <w:color w:val="333333"/>
          <w:sz w:val="21"/>
        </w:rPr>
        <w:t>Attorney schema on all pages (name, specialization, awards/honors including AAML, bar admissions)</w:t>
      </w:r>
    </w:p>
    <w:p>
      <w:pPr>
        <w:pStyle w:val="ListBullet"/>
        <w:spacing w:before="0" w:after="60"/>
        <w:ind w:left="288"/>
      </w:pPr>
      <w:r>
        <w:rPr>
          <w:rFonts w:ascii="Calibri" w:hAnsi="Calibri"/>
          <w:b w:val="0"/>
          <w:i w:val="0"/>
          <w:color w:val="333333"/>
          <w:sz w:val="21"/>
        </w:rPr>
        <w:t>Local Business schema on homepage (NAP: 400 West Market Street, Suite 200, Louisville, KY 40202)</w:t>
      </w:r>
    </w:p>
    <w:p>
      <w:pPr>
        <w:pStyle w:val="ListBullet"/>
        <w:spacing w:before="0" w:after="60"/>
        <w:ind w:left="288"/>
      </w:pPr>
      <w:r>
        <w:rPr>
          <w:rFonts w:ascii="Calibri" w:hAnsi="Calibri"/>
          <w:b w:val="0"/>
          <w:i w:val="0"/>
          <w:color w:val="333333"/>
          <w:sz w:val="21"/>
        </w:rPr>
        <w:t>FAQ schema on FAQ section</w:t>
      </w:r>
    </w:p>
    <w:p>
      <w:pPr>
        <w:pStyle w:val="ListBullet"/>
        <w:spacing w:before="0" w:after="60"/>
        <w:ind w:left="288"/>
      </w:pPr>
      <w:r>
        <w:rPr>
          <w:rFonts w:ascii="Calibri" w:hAnsi="Calibri"/>
          <w:b w:val="0"/>
          <w:i w:val="0"/>
          <w:color w:val="333333"/>
          <w:sz w:val="21"/>
        </w:rPr>
        <w:t>Review schema once reviews are present</w:t>
      </w:r>
    </w:p>
    <w:p>
      <w:pPr>
        <w:spacing w:before="40" w:after="80"/>
      </w:pPr>
      <w:r>
        <w:rPr>
          <w:rFonts w:ascii="Calibri" w:hAnsi="Calibri"/>
          <w:i/>
          <w:color w:val="58585A"/>
          <w:sz w:val="19"/>
        </w:rPr>
        <w:t>Title tag structure:</w:t>
      </w:r>
    </w:p>
    <w:p>
      <w:pPr>
        <w:pStyle w:val="ListBullet"/>
        <w:spacing w:before="0" w:after="60"/>
        <w:ind w:left="288"/>
      </w:pPr>
      <w:r>
        <w:rPr>
          <w:rFonts w:ascii="Calibri" w:hAnsi="Calibri"/>
          <w:b w:val="0"/>
          <w:i w:val="0"/>
          <w:color w:val="333333"/>
          <w:sz w:val="21"/>
        </w:rPr>
        <w:t>Homepage: "Louisville Family Law Attorney | AAML Fellow | Thomas E. Banks II | KentuckianaDivorceLawyer.com"</w:t>
      </w:r>
    </w:p>
    <w:p>
      <w:pPr>
        <w:pStyle w:val="ListBullet"/>
        <w:spacing w:before="0" w:after="60"/>
        <w:ind w:left="288"/>
      </w:pPr>
      <w:r>
        <w:rPr>
          <w:rFonts w:ascii="Calibri" w:hAnsi="Calibri"/>
          <w:b w:val="0"/>
          <w:i w:val="0"/>
          <w:color w:val="333333"/>
          <w:sz w:val="21"/>
        </w:rPr>
        <w:t>High-Asset Divorce page: "High-Asset Divorce Attorney Louisville KY | Business Valuation | Thomas E. Banks II"</w:t>
      </w:r>
    </w:p>
    <w:p>
      <w:pPr>
        <w:pStyle w:val="ListBullet"/>
        <w:spacing w:before="0" w:after="60"/>
        <w:ind w:left="288"/>
      </w:pPr>
      <w:r>
        <w:rPr>
          <w:rFonts w:ascii="Calibri" w:hAnsi="Calibri"/>
          <w:b w:val="0"/>
          <w:i w:val="0"/>
          <w:color w:val="333333"/>
          <w:sz w:val="21"/>
        </w:rPr>
        <w:t>Business Valuation page: "Business Valuation Divorce Attorney Louisville | Forensic Accounting | Thomas E. Banks II"</w:t>
      </w:r>
    </w:p>
    <w:p>
      <w:pPr>
        <w:pStyle w:val="ListBullet"/>
        <w:spacing w:before="0" w:after="60"/>
        <w:ind w:left="288"/>
      </w:pPr>
      <w:r>
        <w:rPr>
          <w:rFonts w:ascii="Calibri" w:hAnsi="Calibri"/>
          <w:b w:val="0"/>
          <w:i w:val="0"/>
          <w:color w:val="333333"/>
          <w:sz w:val="21"/>
        </w:rPr>
        <w:t>Each service page follows: [Service + City/State + Thomas E. Banks II]</w:t>
      </w:r>
    </w:p>
    <w:p>
      <w:pPr>
        <w:spacing w:before="40" w:after="80"/>
      </w:pPr>
      <w:r>
        <w:rPr>
          <w:rFonts w:ascii="Calibri" w:hAnsi="Calibri"/>
          <w:i/>
          <w:color w:val="58585A"/>
          <w:sz w:val="19"/>
        </w:rPr>
        <w:t>Page speed and technical:</w:t>
      </w:r>
    </w:p>
    <w:p>
      <w:pPr>
        <w:pStyle w:val="ListBullet"/>
        <w:spacing w:before="0" w:after="60"/>
        <w:ind w:left="288"/>
      </w:pPr>
      <w:r>
        <w:rPr>
          <w:rFonts w:ascii="Calibri" w:hAnsi="Calibri"/>
          <w:b w:val="0"/>
          <w:i w:val="0"/>
          <w:color w:val="333333"/>
          <w:sz w:val="21"/>
        </w:rPr>
        <w:t>Current Divi build needs audit for Core Web Vitals performance. Divi sites frequently have unnecessary render-blocking scripts; these need to be addressed.</w:t>
      </w:r>
    </w:p>
    <w:p>
      <w:pPr>
        <w:pStyle w:val="ListBullet"/>
        <w:spacing w:before="0" w:after="60"/>
        <w:ind w:left="288"/>
      </w:pPr>
      <w:r>
        <w:rPr>
          <w:rFonts w:ascii="Calibri" w:hAnsi="Calibri"/>
          <w:b w:val="0"/>
          <w:i w:val="0"/>
          <w:color w:val="333333"/>
          <w:sz w:val="21"/>
        </w:rPr>
        <w:t>SSL certificate confirmed active.</w:t>
      </w:r>
    </w:p>
    <w:p>
      <w:pPr>
        <w:pStyle w:val="ListBullet"/>
        <w:spacing w:before="0" w:after="60"/>
        <w:ind w:left="288"/>
      </w:pPr>
      <w:r>
        <w:rPr>
          <w:rFonts w:ascii="Calibri" w:hAnsi="Calibri"/>
          <w:b w:val="0"/>
          <w:i w:val="0"/>
          <w:color w:val="333333"/>
          <w:sz w:val="21"/>
        </w:rPr>
        <w:t>Mobile responsiveness audit — high priority for attorney sites given mobile-first indexing.</w:t>
      </w:r>
    </w:p>
    <w:p>
      <w:pPr>
        <w:pStyle w:val="ListBullet"/>
        <w:spacing w:before="0" w:after="60"/>
        <w:ind w:left="288"/>
      </w:pPr>
      <w:r>
        <w:rPr>
          <w:rFonts w:ascii="Calibri" w:hAnsi="Calibri"/>
          <w:b w:val="0"/>
          <w:i w:val="0"/>
          <w:color w:val="333333"/>
          <w:sz w:val="21"/>
        </w:rPr>
        <w:t>All images need alt text including relevant keywords and Thomas's name.</w:t>
      </w:r>
    </w:p>
    <w:p>
      <w:pPr>
        <w:shd w:fill="F5F5F5" w:color="auto" w:val="clear"/>
        <w:spacing w:before="200" w:after="40"/>
      </w:pPr>
      <w:r>
        <w:rPr>
          <w:rFonts w:ascii="Calibri" w:hAnsi="Calibri"/>
          <w:b/>
          <w:color w:val="58585A"/>
          <w:sz w:val="22"/>
        </w:rPr>
        <w:t xml:space="preserve">  KentuckianaFamilyLawyer.com — Indiana Site</w:t>
      </w:r>
    </w:p>
    <w:p>
      <w:pPr>
        <w:spacing w:before="160" w:after="40"/>
      </w:pPr>
      <w:r>
        <w:rPr>
          <w:rFonts w:ascii="Calibri" w:hAnsi="Calibri"/>
          <w:b/>
          <w:color w:val="1A2533"/>
          <w:sz w:val="21"/>
        </w:rPr>
        <w:t>Current Status and Priority Fixes</w:t>
      </w:r>
    </w:p>
    <w:p>
      <w:pPr>
        <w:spacing w:before="0" w:after="100"/>
      </w:pPr>
      <w:r>
        <w:rPr>
          <w:rFonts w:ascii="Calibri" w:hAnsi="Calibri"/>
          <w:b w:val="0"/>
          <w:i w:val="0"/>
          <w:color w:val="333333"/>
          <w:sz w:val="21"/>
        </w:rPr>
        <w:t>Roger built this site and it has a functional foundation with six service pages and emotion-driven copy. The two critical missing elements are the About page (currently returns a 404 error) and any credential signaling. Priority fixes:</w:t>
      </w:r>
    </w:p>
    <w:p>
      <w:pPr>
        <w:pStyle w:val="ListNumber"/>
        <w:spacing w:before="0" w:after="60"/>
        <w:ind w:left="288"/>
      </w:pPr>
      <w:r>
        <w:rPr>
          <w:rFonts w:ascii="Calibri" w:hAnsi="Calibri"/>
          <w:b w:val="0"/>
          <w:i w:val="0"/>
          <w:color w:val="333333"/>
          <w:sz w:val="21"/>
        </w:rPr>
      </w:r>
      <w:r>
        <w:rPr>
          <w:rFonts w:ascii="Calibri" w:hAnsi="Calibri"/>
          <w:b/>
          <w:i w:val="0"/>
          <w:color w:val="333333"/>
          <w:sz w:val="21"/>
        </w:rPr>
        <w:t>About Page (Build — 404 Must Be Resolved First):</w:t>
      </w:r>
      <w:r>
        <w:rPr>
          <w:rFonts w:ascii="Calibri" w:hAnsi="Calibri"/>
          <w:b w:val="0"/>
          <w:i w:val="0"/>
          <w:color w:val="333333"/>
          <w:sz w:val="21"/>
        </w:rPr>
        <w:t xml:space="preserve"> Same biographical content as the Kentucky About page, rewritten with Indiana-specific context. References to Indiana bar admission, Indiana court experience, and dual-state licensure prominently featured. The 404 error on a core page is an SEO and trust liability — fix within the first week of engagement.</w:t>
      </w:r>
    </w:p>
    <w:p>
      <w:pPr>
        <w:pStyle w:val="ListNumber"/>
        <w:spacing w:before="0" w:after="60"/>
        <w:ind w:left="288"/>
      </w:pPr>
      <w:r>
        <w:rPr>
          <w:rFonts w:ascii="Calibri" w:hAnsi="Calibri"/>
          <w:b w:val="0"/>
          <w:i w:val="0"/>
          <w:color w:val="333333"/>
          <w:sz w:val="21"/>
        </w:rPr>
      </w:r>
      <w:r>
        <w:rPr>
          <w:rFonts w:ascii="Calibri" w:hAnsi="Calibri"/>
          <w:b/>
          <w:i w:val="0"/>
          <w:color w:val="333333"/>
          <w:sz w:val="21"/>
        </w:rPr>
        <w:t>Credentials Block:</w:t>
      </w:r>
      <w:r>
        <w:rPr>
          <w:rFonts w:ascii="Calibri" w:hAnsi="Calibri"/>
          <w:b w:val="0"/>
          <w:i w:val="0"/>
          <w:color w:val="333333"/>
          <w:sz w:val="21"/>
        </w:rPr>
        <w:t xml:space="preserve"> Same credential signals as the Kentucky site (AAML, Super Lawyers, AV Preeminent, years of practice) added to the homepage header and to the footer of every page. Also add: "Licensed in Both Kentucky and Indiana" as a standalone callout — this is the differentiation statement for every Southern Indiana prospect who fears they need to hire an Indiana-only attorney.</w:t>
      </w:r>
    </w:p>
    <w:p>
      <w:pPr>
        <w:pStyle w:val="ListNumber"/>
        <w:spacing w:before="0" w:after="60"/>
        <w:ind w:left="288"/>
      </w:pPr>
      <w:r>
        <w:rPr>
          <w:rFonts w:ascii="Calibri" w:hAnsi="Calibri"/>
          <w:b w:val="0"/>
          <w:i w:val="0"/>
          <w:color w:val="333333"/>
          <w:sz w:val="21"/>
        </w:rPr>
      </w:r>
      <w:r>
        <w:rPr>
          <w:rFonts w:ascii="Calibri" w:hAnsi="Calibri"/>
          <w:b/>
          <w:i w:val="0"/>
          <w:color w:val="333333"/>
          <w:sz w:val="21"/>
        </w:rPr>
        <w:t>Service Page Upgrade:</w:t>
      </w:r>
      <w:r>
        <w:rPr>
          <w:rFonts w:ascii="Calibri" w:hAnsi="Calibri"/>
          <w:b w:val="0"/>
          <w:i w:val="0"/>
          <w:color w:val="333333"/>
          <w:sz w:val="21"/>
        </w:rPr>
        <w:t xml:space="preserve"> The existing service pages have good emotional copy but no authority architecture. Each page needs a credentials reference, a Thomas-specific authority statement relevant to the service, and a FAQ section specific to Indiana law (not Kentucky) for the relevant practice area.</w:t>
      </w:r>
    </w:p>
    <w:p>
      <w:pPr>
        <w:pStyle w:val="ListNumber"/>
        <w:spacing w:before="0" w:after="60"/>
        <w:ind w:left="288"/>
      </w:pPr>
      <w:r>
        <w:rPr>
          <w:rFonts w:ascii="Calibri" w:hAnsi="Calibri"/>
          <w:b w:val="0"/>
          <w:i w:val="0"/>
          <w:color w:val="333333"/>
          <w:sz w:val="21"/>
        </w:rPr>
      </w:r>
      <w:r>
        <w:rPr>
          <w:rFonts w:ascii="Calibri" w:hAnsi="Calibri"/>
          <w:b/>
          <w:i w:val="0"/>
          <w:color w:val="333333"/>
          <w:sz w:val="21"/>
        </w:rPr>
        <w:t>Indiana-Specific FAQ:</w:t>
      </w:r>
      <w:r>
        <w:rPr>
          <w:rFonts w:ascii="Calibri" w:hAnsi="Calibri"/>
          <w:b w:val="0"/>
          <w:i w:val="0"/>
          <w:color w:val="333333"/>
          <w:sz w:val="21"/>
        </w:rPr>
        <w:t xml:space="preserve"> A dedicated Indiana FAQ page or FAQ sections on service pages covering Indiana residency requirements, Indiana grounds for divorce, Indiana child custody standards, and Indiana business valuation rules. This is the content that separates a Jeffersonville resident's search experience from what they'd find on the Kentucky site.</w:t>
      </w:r>
    </w:p>
    <w:p>
      <w:pPr>
        <w:spacing w:before="160" w:after="40"/>
      </w:pPr>
      <w:r>
        <w:rPr>
          <w:rFonts w:ascii="Calibri" w:hAnsi="Calibri"/>
          <w:b/>
          <w:color w:val="1A2533"/>
          <w:sz w:val="21"/>
        </w:rPr>
        <w:t>SEO Architecture — Indiana Site</w:t>
      </w:r>
    </w:p>
    <w:p>
      <w:pPr>
        <w:spacing w:before="40" w:after="80"/>
      </w:pPr>
      <w:r>
        <w:rPr>
          <w:rFonts w:ascii="Calibri" w:hAnsi="Calibri"/>
          <w:i/>
          <w:color w:val="58585A"/>
          <w:sz w:val="19"/>
        </w:rPr>
        <w:t>Local citation strategy:</w:t>
      </w:r>
    </w:p>
    <w:p>
      <w:pPr>
        <w:spacing w:before="0" w:after="100"/>
      </w:pPr>
      <w:r>
        <w:rPr>
          <w:rFonts w:ascii="Calibri" w:hAnsi="Calibri"/>
          <w:b w:val="0"/>
          <w:i w:val="0"/>
          <w:color w:val="333333"/>
          <w:sz w:val="21"/>
        </w:rPr>
        <w:t>The Indiana site requires a separate local citation footprint from the Kentucky site to rank in Southern Indiana local search. Priority citations:</w:t>
      </w:r>
    </w:p>
    <w:p>
      <w:pPr>
        <w:pStyle w:val="ListBullet"/>
        <w:spacing w:before="0" w:after="60"/>
        <w:ind w:left="288"/>
      </w:pPr>
      <w:r>
        <w:rPr>
          <w:rFonts w:ascii="Calibri" w:hAnsi="Calibri"/>
          <w:b w:val="0"/>
          <w:i w:val="0"/>
          <w:color w:val="333333"/>
          <w:sz w:val="21"/>
        </w:rPr>
        <w:t>Google Business Profile (separate from KY profile, tied to Indiana phone number (812) 920-5603)</w:t>
      </w:r>
    </w:p>
    <w:p>
      <w:pPr>
        <w:pStyle w:val="ListBullet"/>
        <w:spacing w:before="0" w:after="60"/>
        <w:ind w:left="288"/>
      </w:pPr>
      <w:r>
        <w:rPr>
          <w:rFonts w:ascii="Calibri" w:hAnsi="Calibri"/>
          <w:b w:val="0"/>
          <w:i w:val="0"/>
          <w:color w:val="333333"/>
          <w:sz w:val="21"/>
        </w:rPr>
        <w:t>Yelp — Southern Indiana business listing</w:t>
      </w:r>
    </w:p>
    <w:p>
      <w:pPr>
        <w:pStyle w:val="ListBullet"/>
        <w:spacing w:before="0" w:after="60"/>
        <w:ind w:left="288"/>
      </w:pPr>
      <w:r>
        <w:rPr>
          <w:rFonts w:ascii="Calibri" w:hAnsi="Calibri"/>
          <w:b w:val="0"/>
          <w:i w:val="0"/>
          <w:color w:val="333333"/>
          <w:sz w:val="21"/>
        </w:rPr>
        <w:t>FindLaw listing with Indiana-specific practice area designation</w:t>
      </w:r>
    </w:p>
    <w:p>
      <w:pPr>
        <w:pStyle w:val="ListBullet"/>
        <w:spacing w:before="0" w:after="60"/>
        <w:ind w:left="288"/>
      </w:pPr>
      <w:r>
        <w:rPr>
          <w:rFonts w:ascii="Calibri" w:hAnsi="Calibri"/>
          <w:b w:val="0"/>
          <w:i w:val="0"/>
          <w:color w:val="333333"/>
          <w:sz w:val="21"/>
        </w:rPr>
        <w:t>Indiana courts directory</w:t>
      </w:r>
    </w:p>
    <w:p>
      <w:pPr>
        <w:pStyle w:val="ListBullet"/>
        <w:spacing w:before="0" w:after="60"/>
        <w:ind w:left="288"/>
      </w:pPr>
      <w:r>
        <w:rPr>
          <w:rFonts w:ascii="Calibri" w:hAnsi="Calibri"/>
          <w:b w:val="0"/>
          <w:i w:val="0"/>
          <w:color w:val="333333"/>
          <w:sz w:val="21"/>
        </w:rPr>
        <w:t>Clark County, Floyd County, Harrison County bar association directories where applicable</w:t>
      </w:r>
    </w:p>
    <w:p>
      <w:pPr>
        <w:pStyle w:val="ListBullet"/>
        <w:spacing w:before="0" w:after="60"/>
        <w:ind w:left="288"/>
      </w:pPr>
      <w:r>
        <w:rPr>
          <w:rFonts w:ascii="Calibri" w:hAnsi="Calibri"/>
          <w:b w:val="0"/>
          <w:i w:val="0"/>
          <w:color w:val="333333"/>
          <w:sz w:val="21"/>
        </w:rPr>
        <w:t>Indiana State Bar Association attorney profile</w:t>
      </w:r>
    </w:p>
    <w:p>
      <w:pPr>
        <w:spacing w:before="40" w:after="80"/>
      </w:pPr>
      <w:r>
        <w:rPr>
          <w:rFonts w:ascii="Calibri" w:hAnsi="Calibri"/>
          <w:i/>
          <w:color w:val="58585A"/>
          <w:sz w:val="19"/>
        </w:rPr>
        <w:t>Title tag structure:</w:t>
      </w:r>
    </w:p>
    <w:p>
      <w:pPr>
        <w:pStyle w:val="ListBullet"/>
        <w:spacing w:before="0" w:after="60"/>
        <w:ind w:left="288"/>
      </w:pPr>
      <w:r>
        <w:rPr>
          <w:rFonts w:ascii="Calibri" w:hAnsi="Calibri"/>
          <w:b w:val="0"/>
          <w:i w:val="0"/>
          <w:color w:val="333333"/>
          <w:sz w:val="21"/>
        </w:rPr>
        <w:t>Homepage: "Family Law Attorney Jeffersonville New Albany Indiana | AAML Fellow | Thomas E. Banks II"</w:t>
      </w:r>
    </w:p>
    <w:p>
      <w:pPr>
        <w:pStyle w:val="ListBullet"/>
        <w:spacing w:before="0" w:after="60"/>
        <w:ind w:left="288"/>
      </w:pPr>
      <w:r>
        <w:rPr>
          <w:rFonts w:ascii="Calibri" w:hAnsi="Calibri"/>
          <w:b w:val="0"/>
          <w:i w:val="0"/>
          <w:color w:val="333333"/>
          <w:sz w:val="21"/>
        </w:rPr>
        <w:t>Divorce page: "Divorce Attorney Southern Indiana | Clark Floyd Harrison County | Thomas E. Banks II"</w:t>
      </w:r>
    </w:p>
    <w:p>
      <w:pPr>
        <w:pStyle w:val="ListBullet"/>
        <w:spacing w:before="0" w:after="60"/>
        <w:ind w:left="288"/>
      </w:pPr>
      <w:r>
        <w:rPr>
          <w:rFonts w:ascii="Calibri" w:hAnsi="Calibri"/>
          <w:b w:val="0"/>
          <w:i w:val="0"/>
          <w:color w:val="333333"/>
          <w:sz w:val="21"/>
        </w:rPr>
        <w:t>Each service page follows Indiana geographic targeting + service + Thomas's name</w:t>
      </w:r>
    </w:p>
    <w:p>
      <w:pPr>
        <w:spacing w:before="40" w:after="80"/>
      </w:pPr>
      <w:r>
        <w:rPr>
          <w:rFonts w:ascii="Calibri" w:hAnsi="Calibri"/>
          <w:i/>
          <w:color w:val="58585A"/>
          <w:sz w:val="19"/>
        </w:rPr>
        <w:t>Internal linking:</w:t>
      </w:r>
    </w:p>
    <w:p>
      <w:pPr>
        <w:spacing w:before="0" w:after="100"/>
      </w:pPr>
      <w:r>
        <w:rPr>
          <w:rFonts w:ascii="Calibri" w:hAnsi="Calibri"/>
          <w:b w:val="0"/>
          <w:i w:val="0"/>
          <w:color w:val="333333"/>
          <w:sz w:val="21"/>
        </w:rPr>
        <w:t>Indiana service pages cross-link to the "Dual KY/IN Licensure" callout on the About page. This creates an internal authority signal for the dual-licensure differentiator and makes the page eligible to rank for dual-state license-specific searches.</w:t>
      </w:r>
    </w:p>
    <w:p>
      <w:pPr>
        <w:shd w:fill="F5F5F5" w:color="auto" w:val="clear"/>
        <w:spacing w:before="200" w:after="40"/>
      </w:pPr>
      <w:r>
        <w:rPr>
          <w:rFonts w:ascii="Calibri" w:hAnsi="Calibri"/>
          <w:b/>
          <w:color w:val="58585A"/>
          <w:sz w:val="22"/>
        </w:rPr>
        <w:t xml:space="preserve">  Integration with Google Business Profiles</w:t>
      </w:r>
    </w:p>
    <w:p>
      <w:pPr>
        <w:spacing w:before="0" w:after="100"/>
      </w:pPr>
      <w:r>
        <w:rPr>
          <w:rFonts w:ascii="Calibri" w:hAnsi="Calibri"/>
          <w:b w:val="0"/>
          <w:i w:val="0"/>
          <w:color w:val="333333"/>
          <w:sz w:val="21"/>
        </w:rPr>
        <w:t>Both sites need separate Google Business Profiles — one for the Louisville address tied to the Kentucky site, one with the Indiana phone number tied to the Indiana site. The GBP descriptions for each lead with the AAML credential, include the dual-licensure statement where relevant, and link to the respective site. Review accumulation on the Kentucky GBP (from the Campaign 2 review generation effort) should not be confused with the Indiana GBP — these are maintained as separate properties.</w:t>
      </w:r>
    </w:p>
    <w:p>
      <w:pPr>
        <w:spacing w:before="160" w:after="80"/>
      </w:pPr>
      <w:r>
        <w:rPr>
          <w:rFonts w:ascii="Calibri" w:hAnsi="Calibri"/>
          <w:i/>
          <w:color w:val="888888"/>
          <w:sz w:val="18"/>
        </w:rPr>
        <w:t>— Iris Nolan, CTO,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10</w:t>
            </w:r>
          </w:p>
        </w:tc>
        <w:tc>
          <w:tcPr>
            <w:tcW w:type="dxa" w:w="4680"/>
            <w:shd w:fill="2C3E50" w:color="auto" w:val="clear"/>
          </w:tcPr>
          <w:p>
            <w:pPr>
              <w:spacing w:before="120" w:after="120"/>
            </w:pPr>
            <w:r>
              <w:rPr>
                <w:rFonts w:ascii="Calibri" w:hAnsi="Calibri"/>
                <w:b/>
                <w:color w:val="FFFFFF"/>
                <w:sz w:val="22"/>
              </w:rPr>
              <w:t>Section 10: Email Sequences</w:t>
            </w:r>
          </w:p>
        </w:tc>
      </w:tr>
    </w:tbl>
    <w:p>
      <w:pPr>
        <w:spacing w:before="0" w:after="120"/>
      </w:pPr>
    </w:p>
    <w:p>
      <w:pPr>
        <w:spacing w:before="40" w:after="80"/>
      </w:pPr>
      <w:r>
        <w:rPr>
          <w:rFonts w:ascii="Calibri" w:hAnsi="Calibri"/>
          <w:i/>
          <w:color w:val="58585A"/>
          <w:sz w:val="19"/>
        </w:rPr>
        <w:t>Prepared by Vivienne Carr, Chief Marketing Officer</w:t>
      </w:r>
    </w:p>
    <w:p>
      <w:pPr>
        <w:shd w:fill="F5F5F5" w:color="auto" w:val="clear"/>
        <w:spacing w:before="200" w:after="40"/>
      </w:pPr>
      <w:r>
        <w:rPr>
          <w:rFonts w:ascii="Calibri" w:hAnsi="Calibri"/>
          <w:b/>
          <w:color w:val="58585A"/>
          <w:sz w:val="22"/>
        </w:rPr>
        <w:t xml:space="preserve">  Sequence 1: New Lead Nurture — Inquiry to Consultation (5 Emails)</w:t>
      </w:r>
    </w:p>
    <w:p>
      <w:pPr>
        <w:spacing w:before="40" w:after="80"/>
      </w:pPr>
      <w:r>
        <w:rPr>
          <w:rFonts w:ascii="Calibri" w:hAnsi="Calibri"/>
          <w:i/>
          <w:color w:val="58585A"/>
          <w:sz w:val="19"/>
        </w:rPr>
        <w:t>Triggered by: Contact form submission, lead magnet download, or any website inquiry. Sends from Thomas's personal email address or a named alias (thomas@kentuckianadivorcelawyer.com). All emails written in Thomas's first-person voice.</w:t>
      </w:r>
    </w:p>
    <w:p>
      <w:pPr>
        <w:spacing w:before="160" w:after="40"/>
      </w:pPr>
      <w:r>
        <w:rPr>
          <w:rFonts w:ascii="Calibri" w:hAnsi="Calibri"/>
          <w:b/>
          <w:color w:val="1A2533"/>
          <w:sz w:val="21"/>
        </w:rPr>
        <w:t>Email 1 — Immediate Confirmation / Welcome</w:t>
      </w:r>
    </w:p>
    <w:p>
      <w:pPr>
        <w:spacing w:before="0" w:after="100"/>
      </w:pPr>
      <w:r>
        <w:rPr>
          <w:rFonts w:ascii="Calibri" w:hAnsi="Calibri"/>
          <w:b w:val="0"/>
          <w:i w:val="0"/>
          <w:color w:val="333333"/>
          <w:sz w:val="21"/>
        </w:rPr>
      </w:r>
      <w:r>
        <w:rPr>
          <w:rFonts w:ascii="Calibri" w:hAnsi="Calibri"/>
          <w:b/>
          <w:i w:val="0"/>
          <w:color w:val="333333"/>
          <w:sz w:val="21"/>
        </w:rPr>
        <w:t>Subject:</w:t>
      </w:r>
      <w:r>
        <w:rPr>
          <w:rFonts w:ascii="Calibri" w:hAnsi="Calibri"/>
          <w:b w:val="0"/>
          <w:i w:val="0"/>
          <w:color w:val="333333"/>
          <w:sz w:val="21"/>
        </w:rPr>
        <w:t xml:space="preserve"> I received your message — here's what happens next</w:t>
      </w:r>
    </w:p>
    <w:p>
      <w:pPr>
        <w:spacing w:before="0" w:after="100"/>
      </w:pPr>
      <w:r>
        <w:rPr>
          <w:rFonts w:ascii="Calibri" w:hAnsi="Calibri"/>
          <w:b w:val="0"/>
          <w:i w:val="0"/>
          <w:color w:val="333333"/>
          <w:sz w:val="21"/>
        </w:rPr>
      </w:r>
      <w:r>
        <w:rPr>
          <w:rFonts w:ascii="Calibri" w:hAnsi="Calibri"/>
          <w:b/>
          <w:i w:val="0"/>
          <w:color w:val="333333"/>
          <w:sz w:val="21"/>
        </w:rPr>
        <w:t>Preview text:</w:t>
      </w:r>
      <w:r>
        <w:rPr>
          <w:rFonts w:ascii="Calibri" w:hAnsi="Calibri"/>
          <w:b w:val="0"/>
          <w:i w:val="0"/>
          <w:color w:val="333333"/>
          <w:sz w:val="21"/>
        </w:rPr>
        <w:t xml:space="preserve"> A personal note from Thomas Banks before we speak.</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received your inquiry and I want you to know it came directly to 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If you're reaching out, you're probably dealing with one of the most consequential legal situations of your life. I've been practicing exclusively in family law for 17 years, and I take first contacts seriously — because the decisions made in the earliest days of a family law case often determine the shape of everything that follows.</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My assistant will reach out within one business day to schedule a consultation. In the meantime, if anything is time-sensitive or you have an immediate question, my direct line is (502) 379-4963.</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Before we speak, I'd like to share one thing that I tell every person who contacts me: your outcome in a family law matter is not predetermined by the law or by the judge. It is significantly shaped by the quality of preparation, the depth of financial understanding, and the specific experience of the attorney representing you.</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I'll tell you more about what that looks like in practice when we speak.</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hd w:fill="FDF8EC" w:color="auto" w:val="clear"/>
        <w:spacing w:before="60" w:after="60"/>
        <w:ind w:left="216"/>
      </w:pPr>
      <w:r>
        <w:rPr>
          <w:rFonts w:ascii="Calibri" w:hAnsi="Calibri"/>
          <w:i/>
          <w:color w:val="8B6A0A"/>
          <w:sz w:val="20"/>
        </w:rPr>
        <w:t xml:space="preserve">  Partner | Straw-Boone Doheny Banks Mudd Catalano &amp; McKinney, PLLC</w:t>
      </w:r>
    </w:p>
    <w:p>
      <w:pPr>
        <w:shd w:fill="FDF8EC" w:color="auto" w:val="clear"/>
        <w:spacing w:before="60" w:after="60"/>
        <w:ind w:left="216"/>
      </w:pPr>
      <w:r>
        <w:rPr>
          <w:rFonts w:ascii="Calibri" w:hAnsi="Calibri"/>
          <w:i/>
          <w:color w:val="8B6A0A"/>
          <w:sz w:val="20"/>
        </w:rPr>
        <w:t xml:space="preserve">  AAML Fellow | AV Preeminent | Super Lawyers 2021–2026</w:t>
      </w:r>
    </w:p>
    <w:p>
      <w:pPr>
        <w:shd w:fill="FDF8EC" w:color="auto" w:val="clear"/>
        <w:spacing w:before="60" w:after="60"/>
        <w:ind w:left="216"/>
      </w:pPr>
      <w:r>
        <w:rPr>
          <w:rFonts w:ascii="Calibri" w:hAnsi="Calibri"/>
          <w:i/>
          <w:color w:val="8B6A0A"/>
          <w:sz w:val="20"/>
        </w:rPr>
        <w:t xml:space="preserve">  (502) 379-4963</w:t>
      </w:r>
    </w:p>
    <w:p>
      <w:pPr>
        <w:spacing w:before="160" w:after="40"/>
      </w:pPr>
      <w:r>
        <w:rPr>
          <w:rFonts w:ascii="Calibri" w:hAnsi="Calibri"/>
          <w:b/>
          <w:color w:val="1A2533"/>
          <w:sz w:val="21"/>
        </w:rPr>
        <w:t>Email 2 — Day 2 / The Pre-Frame</w:t>
      </w:r>
    </w:p>
    <w:p>
      <w:pPr>
        <w:spacing w:before="0" w:after="100"/>
      </w:pPr>
      <w:r>
        <w:rPr>
          <w:rFonts w:ascii="Calibri" w:hAnsi="Calibri"/>
          <w:b w:val="0"/>
          <w:i w:val="0"/>
          <w:color w:val="333333"/>
          <w:sz w:val="21"/>
        </w:rPr>
      </w:r>
      <w:r>
        <w:rPr>
          <w:rFonts w:ascii="Calibri" w:hAnsi="Calibri"/>
          <w:b/>
          <w:i w:val="0"/>
          <w:color w:val="333333"/>
          <w:sz w:val="21"/>
        </w:rPr>
        <w:t>Subject:</w:t>
      </w:r>
      <w:r>
        <w:rPr>
          <w:rFonts w:ascii="Calibri" w:hAnsi="Calibri"/>
          <w:b w:val="0"/>
          <w:i w:val="0"/>
          <w:color w:val="333333"/>
          <w:sz w:val="21"/>
        </w:rPr>
        <w:t xml:space="preserve"> What most people get wrong about choosing a family law attorney</w:t>
      </w:r>
    </w:p>
    <w:p>
      <w:pPr>
        <w:spacing w:before="0" w:after="100"/>
      </w:pPr>
      <w:r>
        <w:rPr>
          <w:rFonts w:ascii="Calibri" w:hAnsi="Calibri"/>
          <w:b w:val="0"/>
          <w:i w:val="0"/>
          <w:color w:val="333333"/>
          <w:sz w:val="21"/>
        </w:rPr>
      </w:r>
      <w:r>
        <w:rPr>
          <w:rFonts w:ascii="Calibri" w:hAnsi="Calibri"/>
          <w:b/>
          <w:i w:val="0"/>
          <w:color w:val="333333"/>
          <w:sz w:val="21"/>
        </w:rPr>
        <w:t>Preview text:</w:t>
      </w:r>
      <w:r>
        <w:rPr>
          <w:rFonts w:ascii="Calibri" w:hAnsi="Calibri"/>
          <w:b w:val="0"/>
          <w:i w:val="0"/>
          <w:color w:val="333333"/>
          <w:sz w:val="21"/>
        </w:rPr>
        <w:t xml:space="preserve"> The assumption that costs people the most in high-asset cases.</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There's an assumption I see most people make when they're beginning a search for a family law attorney — and it costs them significantly when a business or complex financial situation is involved.</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The assumption is this: *all family law attorneys can handle the financial complexity of a high-asset case.*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This is not true — and the gap between an attorney who understands financial forensics personally and one who sends everything to an expert witness is measured in outcomes, not just comfort level.</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In a case involving a business, a partnership interest, deferred compensation, or real estate portfolio, the contested question is almost always a financial one: what is this worth, when was it acquired, and how much of it is marital property? The attorney who can read a valuation, identify the methodology used, and challenge the assumptions behind it in real time has a materially different capability than the attorney who waits for a consultant's report.</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Before I went to law school, I spent several years in accounting and database management. I hold the American Academy of Matrimonial Lawyers Fellowship — an invitation-only credential held by fewer than 1,600 attorneys worldwide, requiring peer nomination, written examination, and demonstrated trial skill. I have been practicing exclusively in family law for 17 years.</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What that combination produces is an attorney who does not need to be told what the numbers mean.</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look forward to our conversation.</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hd w:fill="FDF8EC" w:color="auto" w:val="clear"/>
        <w:spacing w:before="60" w:after="60"/>
        <w:ind w:left="216"/>
      </w:pPr>
      <w:r>
        <w:rPr>
          <w:rFonts w:ascii="Calibri" w:hAnsi="Calibri"/>
          <w:i/>
          <w:color w:val="8B6A0A"/>
          <w:sz w:val="20"/>
        </w:rPr>
        <w:t xml:space="preserve">  (502) 379-4963</w:t>
      </w:r>
    </w:p>
    <w:p>
      <w:pPr>
        <w:shd w:fill="FDF8EC" w:color="auto" w:val="clear"/>
        <w:spacing w:before="60" w:after="60"/>
        <w:ind w:left="216"/>
      </w:pPr>
      <w:r>
        <w:rPr>
          <w:rFonts w:ascii="Calibri" w:hAnsi="Calibri"/>
          <w:i/>
          <w:color w:val="8B6A0A"/>
          <w:sz w:val="20"/>
        </w:rPr>
        <w:t xml:space="preserve">  [Book a Consultation — link]</w:t>
      </w:r>
    </w:p>
    <w:p>
      <w:pPr>
        <w:spacing w:before="160" w:after="40"/>
      </w:pPr>
      <w:r>
        <w:rPr>
          <w:rFonts w:ascii="Calibri" w:hAnsi="Calibri"/>
          <w:b/>
          <w:color w:val="1A2533"/>
          <w:sz w:val="21"/>
        </w:rPr>
        <w:t>Email 3 — Day 5 / The New Worldview</w:t>
      </w:r>
    </w:p>
    <w:p>
      <w:pPr>
        <w:spacing w:before="0" w:after="100"/>
      </w:pPr>
      <w:r>
        <w:rPr>
          <w:rFonts w:ascii="Calibri" w:hAnsi="Calibri"/>
          <w:b w:val="0"/>
          <w:i w:val="0"/>
          <w:color w:val="333333"/>
          <w:sz w:val="21"/>
        </w:rPr>
      </w:r>
      <w:r>
        <w:rPr>
          <w:rFonts w:ascii="Calibri" w:hAnsi="Calibri"/>
          <w:b/>
          <w:i w:val="0"/>
          <w:color w:val="333333"/>
          <w:sz w:val="21"/>
        </w:rPr>
        <w:t>Subject:</w:t>
      </w:r>
      <w:r>
        <w:rPr>
          <w:rFonts w:ascii="Calibri" w:hAnsi="Calibri"/>
          <w:b w:val="0"/>
          <w:i w:val="0"/>
          <w:color w:val="333333"/>
          <w:sz w:val="21"/>
        </w:rPr>
        <w:t xml:space="preserve"> What actually happens to a business in a Kentucky divorce</w:t>
      </w:r>
    </w:p>
    <w:p>
      <w:pPr>
        <w:spacing w:before="0" w:after="100"/>
      </w:pPr>
      <w:r>
        <w:rPr>
          <w:rFonts w:ascii="Calibri" w:hAnsi="Calibri"/>
          <w:b w:val="0"/>
          <w:i w:val="0"/>
          <w:color w:val="333333"/>
          <w:sz w:val="21"/>
        </w:rPr>
      </w:r>
      <w:r>
        <w:rPr>
          <w:rFonts w:ascii="Calibri" w:hAnsi="Calibri"/>
          <w:b/>
          <w:i w:val="0"/>
          <w:color w:val="333333"/>
          <w:sz w:val="21"/>
        </w:rPr>
        <w:t>Preview text:</w:t>
      </w:r>
      <w:r>
        <w:rPr>
          <w:rFonts w:ascii="Calibri" w:hAnsi="Calibri"/>
          <w:b w:val="0"/>
          <w:i w:val="0"/>
          <w:color w:val="333333"/>
          <w:sz w:val="21"/>
        </w:rPr>
        <w:t xml:space="preserve"> The mechanics most people don't see until it's too late.</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If your divorce involves a business, here is what actually happens — not the simplified version, but the version that determines outcomes.</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Kentucky courts determine what portion of a business is marital property and what portion, if any, is separate. The analysis turns on when the business was founded, how it was capitalized, whether it appreciated during the marriage and from what sources, and how the business income was treated in the marital estate. None of this is straightforward. All of it is contested.</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The opposing side will hire a business valuation expert. That expert will produce a number using one or more standard methods — income approach, asset approach, market approach — and the choice of method and the assumptions plugged into it will produce a number that may look objectively produced but is, in practice, a negotiating position.</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The attorney who cannot independently evaluate that valuation — who does not understand what discount for lack of control means, or how normalized earnings are calculated, or where a capitalization rate comes from — cannot effectively challenge it. They can hire a counter-expert and hope for the best. They cannot proactively dismantle the opposing position before the expert is even cross-examined.</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That is the difference my accounting background makes in your case.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am glad to walk through your specific situation when we speak.</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hd w:fill="FDF8EC" w:color="auto" w:val="clear"/>
        <w:spacing w:before="60" w:after="60"/>
        <w:ind w:left="216"/>
      </w:pPr>
      <w:r>
        <w:rPr>
          <w:rFonts w:ascii="Calibri" w:hAnsi="Calibri"/>
          <w:i/>
          <w:color w:val="8B6A0A"/>
          <w:sz w:val="20"/>
        </w:rPr>
        <w:t xml:space="preserve">  (502) 379-4963</w:t>
      </w:r>
    </w:p>
    <w:p>
      <w:pPr>
        <w:shd w:fill="FDF8EC" w:color="auto" w:val="clear"/>
        <w:spacing w:before="60" w:after="60"/>
        <w:ind w:left="216"/>
      </w:pPr>
      <w:r>
        <w:rPr>
          <w:rFonts w:ascii="Calibri" w:hAnsi="Calibri"/>
          <w:i/>
          <w:color w:val="8B6A0A"/>
          <w:sz w:val="20"/>
        </w:rPr>
        <w:t xml:space="preserve">  [Book a Consultation — link]</w:t>
      </w:r>
    </w:p>
    <w:p>
      <w:pPr>
        <w:spacing w:before="160" w:after="40"/>
      </w:pPr>
      <w:r>
        <w:rPr>
          <w:rFonts w:ascii="Calibri" w:hAnsi="Calibri"/>
          <w:b/>
          <w:color w:val="1A2533"/>
          <w:sz w:val="21"/>
        </w:rPr>
        <w:t>Email 4 — Day 10 / Internal Alignment + Urgency</w:t>
      </w:r>
    </w:p>
    <w:p>
      <w:pPr>
        <w:spacing w:before="0" w:after="100"/>
      </w:pPr>
      <w:r>
        <w:rPr>
          <w:rFonts w:ascii="Calibri" w:hAnsi="Calibri"/>
          <w:b w:val="0"/>
          <w:i w:val="0"/>
          <w:color w:val="333333"/>
          <w:sz w:val="21"/>
        </w:rPr>
      </w:r>
      <w:r>
        <w:rPr>
          <w:rFonts w:ascii="Calibri" w:hAnsi="Calibri"/>
          <w:b/>
          <w:i w:val="0"/>
          <w:color w:val="333333"/>
          <w:sz w:val="21"/>
        </w:rPr>
        <w:t>Subject:</w:t>
      </w:r>
      <w:r>
        <w:rPr>
          <w:rFonts w:ascii="Calibri" w:hAnsi="Calibri"/>
          <w:b w:val="0"/>
          <w:i w:val="0"/>
          <w:color w:val="333333"/>
          <w:sz w:val="21"/>
        </w:rPr>
        <w:t xml:space="preserve"> A story about a business valuation and what it almost cost</w:t>
      </w:r>
    </w:p>
    <w:p>
      <w:pPr>
        <w:spacing w:before="0" w:after="100"/>
      </w:pPr>
      <w:r>
        <w:rPr>
          <w:rFonts w:ascii="Calibri" w:hAnsi="Calibri"/>
          <w:b w:val="0"/>
          <w:i w:val="0"/>
          <w:color w:val="333333"/>
          <w:sz w:val="21"/>
        </w:rPr>
      </w:r>
      <w:r>
        <w:rPr>
          <w:rFonts w:ascii="Calibri" w:hAnsi="Calibri"/>
          <w:b/>
          <w:i w:val="0"/>
          <w:color w:val="333333"/>
          <w:sz w:val="21"/>
        </w:rPr>
        <w:t>Preview text:</w:t>
      </w:r>
      <w:r>
        <w:rPr>
          <w:rFonts w:ascii="Calibri" w:hAnsi="Calibri"/>
          <w:b w:val="0"/>
          <w:i w:val="0"/>
          <w:color w:val="333333"/>
          <w:sz w:val="21"/>
        </w:rPr>
        <w:t xml:space="preserve"> The gap that a forensic review found — after the first attorney missed it.</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want to share the kind of situation that I see come through my office more often than it should.</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A business owner contacts me after retaining a different attorney — sometimes months into a case. The opposing side has already produced a business valuation. The first attorney reviewed it, passed it to a consultant, and accepted the consultant's general assessment that the methodology was "reasonable."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What the consultant did not do — because consultants are generalists and this was one of dozens of valuations they reviewed that month — was examine the underlying financial statements carefully enough to identify that the business's owner benefits, including personal expenses running through the company, had not been added back to normalize earnings. The valuation, as a result, significantly understated the business's earning capacity. From the opposing side's perspective, this was not an error. It was a strategy.</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When I reviewed the same materials, the issue was visible within an hour.</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This is not an unusual scenario. It is, in fact, a predictable one — because the opposing side's attorney and expert understand that most family law attorneys will not catch it.</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The cost of missing it, in that case, was substantial. The window to challenge a preliminary valuation is not open indefinitely. Discovery timelines, deposition schedules, and mediation deadlines create a real sequence, and falling behind that sequence because the first review was inadequate is recoverable — but expensive in time, in money, and sometimes in outcome.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would like to speak with you before more time passes.</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hd w:fill="FDF8EC" w:color="auto" w:val="clear"/>
        <w:spacing w:before="60" w:after="60"/>
        <w:ind w:left="216"/>
      </w:pPr>
      <w:r>
        <w:rPr>
          <w:rFonts w:ascii="Calibri" w:hAnsi="Calibri"/>
          <w:i/>
          <w:color w:val="8B6A0A"/>
          <w:sz w:val="20"/>
        </w:rPr>
        <w:t xml:space="preserve">  (502) 379-4963</w:t>
      </w:r>
    </w:p>
    <w:p>
      <w:pPr>
        <w:shd w:fill="FDF8EC" w:color="auto" w:val="clear"/>
        <w:spacing w:before="60" w:after="60"/>
        <w:ind w:left="216"/>
      </w:pPr>
      <w:r>
        <w:rPr>
          <w:rFonts w:ascii="Calibri" w:hAnsi="Calibri"/>
          <w:i/>
          <w:color w:val="8B6A0A"/>
          <w:sz w:val="20"/>
        </w:rPr>
        <w:t xml:space="preserve">  [Book a Consultation — link]</w:t>
      </w:r>
    </w:p>
    <w:p>
      <w:pPr>
        <w:spacing w:before="160" w:after="40"/>
      </w:pPr>
      <w:r>
        <w:rPr>
          <w:rFonts w:ascii="Calibri" w:hAnsi="Calibri"/>
          <w:b/>
          <w:color w:val="1A2533"/>
          <w:sz w:val="21"/>
        </w:rPr>
        <w:t>Email 5 — Day 16 / Certainty + Relief</w:t>
      </w:r>
    </w:p>
    <w:p>
      <w:pPr>
        <w:spacing w:before="0" w:after="100"/>
      </w:pPr>
      <w:r>
        <w:rPr>
          <w:rFonts w:ascii="Calibri" w:hAnsi="Calibri"/>
          <w:b w:val="0"/>
          <w:i w:val="0"/>
          <w:color w:val="333333"/>
          <w:sz w:val="21"/>
        </w:rPr>
      </w:r>
      <w:r>
        <w:rPr>
          <w:rFonts w:ascii="Calibri" w:hAnsi="Calibri"/>
          <w:b/>
          <w:i w:val="0"/>
          <w:color w:val="333333"/>
          <w:sz w:val="21"/>
        </w:rPr>
        <w:t>Subject:</w:t>
      </w:r>
      <w:r>
        <w:rPr>
          <w:rFonts w:ascii="Calibri" w:hAnsi="Calibri"/>
          <w:b w:val="0"/>
          <w:i w:val="0"/>
          <w:color w:val="333333"/>
          <w:sz w:val="21"/>
        </w:rPr>
        <w:t xml:space="preserve"> When you're ready — here's what a first conversation with me looks like</w:t>
      </w:r>
    </w:p>
    <w:p>
      <w:pPr>
        <w:spacing w:before="0" w:after="100"/>
      </w:pPr>
      <w:r>
        <w:rPr>
          <w:rFonts w:ascii="Calibri" w:hAnsi="Calibri"/>
          <w:b w:val="0"/>
          <w:i w:val="0"/>
          <w:color w:val="333333"/>
          <w:sz w:val="21"/>
        </w:rPr>
      </w:r>
      <w:r>
        <w:rPr>
          <w:rFonts w:ascii="Calibri" w:hAnsi="Calibri"/>
          <w:b/>
          <w:i w:val="0"/>
          <w:color w:val="333333"/>
          <w:sz w:val="21"/>
        </w:rPr>
        <w:t>Preview text:</w:t>
      </w:r>
      <w:r>
        <w:rPr>
          <w:rFonts w:ascii="Calibri" w:hAnsi="Calibri"/>
          <w:b w:val="0"/>
          <w:i w:val="0"/>
          <w:color w:val="333333"/>
          <w:sz w:val="21"/>
        </w:rPr>
        <w:t xml:space="preserve"> A diagnostic, not a pitch. Here's how it works.</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want to be direct with you about what a first consultation looks like, because I know the idea of that call can feel like a bigger commitment than it needs to be.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Our first conversation is a diagnostic, not a retainer presentation. My goal is to understand your situation clearly enough to give you an honest assessment of what you're dealing with, what the financial and legal complexity actually looks like, and whether I'm the right attorney for your specific circumstances.</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You will leave that conversation with a clearer picture of your situation than you had when you arrived. Whether you retain me or not is secondary to that.</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What I bring to that conversation: 17 years of exclusive family law practice in Kentucky and Indiana, the AAML Fellowship, the AV Preeminent rating, and a forensic accounting background that changes what I can see and do in a case involving financial complexity. What I ask of you: an hour, and as much information about your situation as you are comfortable sharing.</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If you are ready, my direct line is (502) 379-4963. My assistant can also schedule at the link below.</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look forward to speaking with you.</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hd w:fill="FDF8EC" w:color="auto" w:val="clear"/>
        <w:spacing w:before="60" w:after="60"/>
        <w:ind w:left="216"/>
      </w:pPr>
      <w:r>
        <w:rPr>
          <w:rFonts w:ascii="Calibri" w:hAnsi="Calibri"/>
          <w:i/>
          <w:color w:val="8B6A0A"/>
          <w:sz w:val="20"/>
        </w:rPr>
        <w:t xml:space="preserve">  Partner | Straw-Boone Doheny Banks Mudd Catalano &amp; McKinney, PLLC</w:t>
      </w:r>
    </w:p>
    <w:p>
      <w:pPr>
        <w:shd w:fill="FDF8EC" w:color="auto" w:val="clear"/>
        <w:spacing w:before="60" w:after="60"/>
        <w:ind w:left="216"/>
      </w:pPr>
      <w:r>
        <w:rPr>
          <w:rFonts w:ascii="Calibri" w:hAnsi="Calibri"/>
          <w:i/>
          <w:color w:val="8B6A0A"/>
          <w:sz w:val="20"/>
        </w:rPr>
        <w:t xml:space="preserve">  AAML Fellow | AV Preeminent | Super Lawyers 2021–2026</w:t>
      </w:r>
    </w:p>
    <w:p>
      <w:pPr>
        <w:shd w:fill="FDF8EC" w:color="auto" w:val="clear"/>
        <w:spacing w:before="60" w:after="60"/>
        <w:ind w:left="216"/>
      </w:pPr>
      <w:r>
        <w:rPr>
          <w:rFonts w:ascii="Calibri" w:hAnsi="Calibri"/>
          <w:i/>
          <w:color w:val="8B6A0A"/>
          <w:sz w:val="20"/>
        </w:rPr>
        <w:t xml:space="preserve">  (502) 379-4963</w:t>
      </w:r>
    </w:p>
    <w:p>
      <w:pPr>
        <w:shd w:fill="FDF8EC" w:color="auto" w:val="clear"/>
        <w:spacing w:before="60" w:after="60"/>
        <w:ind w:left="216"/>
      </w:pPr>
      <w:r>
        <w:rPr>
          <w:rFonts w:ascii="Calibri" w:hAnsi="Calibri"/>
          <w:i/>
          <w:color w:val="8B6A0A"/>
          <w:sz w:val="20"/>
        </w:rPr>
        <w:t xml:space="preserve">  [Book a Consultation — link]</w:t>
      </w:r>
    </w:p>
    <w:p>
      <w:pPr>
        <w:shd w:fill="F5F5F5" w:color="auto" w:val="clear"/>
        <w:spacing w:before="200" w:after="40"/>
      </w:pPr>
      <w:r>
        <w:rPr>
          <w:rFonts w:ascii="Calibri" w:hAnsi="Calibri"/>
          <w:b/>
          <w:color w:val="58585A"/>
          <w:sz w:val="22"/>
        </w:rPr>
        <w:t xml:space="preserve">  Sequence 2: Referral Source Nurture — CPA/Financial Advisor (3 Emails)</w:t>
      </w:r>
    </w:p>
    <w:p>
      <w:pPr>
        <w:spacing w:before="40" w:after="80"/>
      </w:pPr>
      <w:r>
        <w:rPr>
          <w:rFonts w:ascii="Calibri" w:hAnsi="Calibri"/>
          <w:i/>
          <w:color w:val="58585A"/>
          <w:sz w:val="19"/>
        </w:rPr>
        <w:t>Triggered by: LinkedIn connection accepted or initial meeting confirmed. Sends from Thomas's direct email. Written to speak to a peer professional, not a consumer.</w:t>
      </w:r>
    </w:p>
    <w:p>
      <w:pPr>
        <w:spacing w:before="160" w:after="40"/>
      </w:pPr>
      <w:r>
        <w:rPr>
          <w:rFonts w:ascii="Calibri" w:hAnsi="Calibri"/>
          <w:b/>
          <w:color w:val="1A2533"/>
          <w:sz w:val="21"/>
        </w:rPr>
        <w:t>Email 1 — Post-Connection Introduction</w:t>
      </w:r>
    </w:p>
    <w:p>
      <w:pPr>
        <w:spacing w:before="0" w:after="100"/>
      </w:pPr>
      <w:r>
        <w:rPr>
          <w:rFonts w:ascii="Calibri" w:hAnsi="Calibri"/>
          <w:b w:val="0"/>
          <w:i w:val="0"/>
          <w:color w:val="333333"/>
          <w:sz w:val="21"/>
        </w:rPr>
      </w:r>
      <w:r>
        <w:rPr>
          <w:rFonts w:ascii="Calibri" w:hAnsi="Calibri"/>
          <w:b/>
          <w:i w:val="0"/>
          <w:color w:val="333333"/>
          <w:sz w:val="21"/>
        </w:rPr>
        <w:t>Subject:</w:t>
      </w:r>
      <w:r>
        <w:rPr>
          <w:rFonts w:ascii="Calibri" w:hAnsi="Calibri"/>
          <w:b w:val="0"/>
          <w:i w:val="0"/>
          <w:color w:val="333333"/>
          <w:sz w:val="21"/>
        </w:rPr>
        <w:t xml:space="preserve"> Thomas Banks — family law, Louisville | A resource for your practice</w:t>
      </w:r>
    </w:p>
    <w:p>
      <w:pPr>
        <w:spacing w:before="0" w:after="100"/>
      </w:pPr>
      <w:r>
        <w:rPr>
          <w:rFonts w:ascii="Calibri" w:hAnsi="Calibri"/>
          <w:b w:val="0"/>
          <w:i w:val="0"/>
          <w:color w:val="333333"/>
          <w:sz w:val="21"/>
        </w:rPr>
      </w:r>
      <w:r>
        <w:rPr>
          <w:rFonts w:ascii="Calibri" w:hAnsi="Calibri"/>
          <w:b/>
          <w:i w:val="0"/>
          <w:color w:val="333333"/>
          <w:sz w:val="21"/>
        </w:rPr>
        <w:t>Preview text:</w:t>
      </w:r>
      <w:r>
        <w:rPr>
          <w:rFonts w:ascii="Calibri" w:hAnsi="Calibri"/>
          <w:b w:val="0"/>
          <w:i w:val="0"/>
          <w:color w:val="333333"/>
          <w:sz w:val="21"/>
        </w:rPr>
        <w:t xml:space="preserve"> Why my background makes me different from most family law attorneys.</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Thanks for connecting — I wanted to follow up with a brief introduction, since LinkedIn context is always limited.</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I'm a family law partner at Straw-Boone Doheny Banks Mudd Catalano &amp; McKinney in Louisville. I hold the American Academy of Matrimonial Lawyers Fellowship — an invitation-only designation held by fewer than 1,600 attorneys in the world. I've been practicing exclusively in family law for 17 years, licensed in both Kentucky and Indiana.</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The reason I reach out to CPAs and financial advisors specifically is this: before law school, I spent several years in accounting and database management. That background is not decorative. In cases involving contested business valuations, complex asset portfolios, deferred compensation, or allegations of hidden assets, I am one of the few family law attorneys in this market who can personally evaluate the financial materials without full reliance on a retained expert.</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What that means for your practice: if you have a client whose marital situation is becoming complicated — particularly where the financial structure of a business or investment portfolio is going to be at issue — I am a different kind of resource than the average family law referral.</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I'm not looking for volume referrals. I'm looking for relationships with a small number of financial professionals who trust that I will handle their client's matter at the level their client deserves — and who I can call when I have a client who needs the kind of financial professional guidance you provide.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Worth a 20-minute coffee at some point?</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hd w:fill="FDF8EC" w:color="auto" w:val="clear"/>
        <w:spacing w:before="60" w:after="60"/>
        <w:ind w:left="216"/>
      </w:pPr>
      <w:r>
        <w:rPr>
          <w:rFonts w:ascii="Calibri" w:hAnsi="Calibri"/>
          <w:i/>
          <w:color w:val="8B6A0A"/>
          <w:sz w:val="20"/>
        </w:rPr>
        <w:t xml:space="preserve">  (502) 379-4963 | thomas@kentuckianadivorcelawyer.com</w:t>
      </w:r>
    </w:p>
    <w:p>
      <w:pPr>
        <w:spacing w:before="160" w:after="40"/>
      </w:pPr>
      <w:r>
        <w:rPr>
          <w:rFonts w:ascii="Calibri" w:hAnsi="Calibri"/>
          <w:b/>
          <w:color w:val="1A2533"/>
          <w:sz w:val="21"/>
        </w:rPr>
        <w:t>Email 2 — Day 7 Post-Introduction (if no reply)</w:t>
      </w:r>
    </w:p>
    <w:p>
      <w:pPr>
        <w:spacing w:before="0" w:after="100"/>
      </w:pPr>
      <w:r>
        <w:rPr>
          <w:rFonts w:ascii="Calibri" w:hAnsi="Calibri"/>
          <w:b w:val="0"/>
          <w:i w:val="0"/>
          <w:color w:val="333333"/>
          <w:sz w:val="21"/>
        </w:rPr>
      </w:r>
      <w:r>
        <w:rPr>
          <w:rFonts w:ascii="Calibri" w:hAnsi="Calibri"/>
          <w:b/>
          <w:i w:val="0"/>
          <w:color w:val="333333"/>
          <w:sz w:val="21"/>
        </w:rPr>
        <w:t>Subject:</w:t>
      </w:r>
      <w:r>
        <w:rPr>
          <w:rFonts w:ascii="Calibri" w:hAnsi="Calibri"/>
          <w:b w:val="0"/>
          <w:i w:val="0"/>
          <w:color w:val="333333"/>
          <w:sz w:val="21"/>
        </w:rPr>
        <w:t xml:space="preserve"> How business valuations actually work in a Kentucky divorce — a quick resource</w:t>
      </w:r>
    </w:p>
    <w:p>
      <w:pPr>
        <w:spacing w:before="0" w:after="100"/>
      </w:pPr>
      <w:r>
        <w:rPr>
          <w:rFonts w:ascii="Calibri" w:hAnsi="Calibri"/>
          <w:b w:val="0"/>
          <w:i w:val="0"/>
          <w:color w:val="333333"/>
          <w:sz w:val="21"/>
        </w:rPr>
      </w:r>
      <w:r>
        <w:rPr>
          <w:rFonts w:ascii="Calibri" w:hAnsi="Calibri"/>
          <w:b/>
          <w:i w:val="0"/>
          <w:color w:val="333333"/>
          <w:sz w:val="21"/>
        </w:rPr>
        <w:t>Preview text:</w:t>
      </w:r>
      <w:r>
        <w:rPr>
          <w:rFonts w:ascii="Calibri" w:hAnsi="Calibri"/>
          <w:b w:val="0"/>
          <w:i w:val="0"/>
          <w:color w:val="333333"/>
          <w:sz w:val="21"/>
        </w:rPr>
        <w:t xml:space="preserve"> Written for financial professionals, not consumers. Thought you'd find it useful.</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Following up briefly — and sharing something that I think is genuinely useful for your practice, not just a reason to stay in touch.</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wrote an article on how business valuations work in a Kentucky divorce — not the simplified version, but the mechanics: valuation methodology, the contested points, how earnings normalization gets manipulated, and what a forensic review actually looks like. It's written at a level where you can share it with a client or use it to frame your own conversation with them.</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[Link to article: "How Business Valuation Actually Works in a Kentucky Divorce"]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The reason this matters for your work: when a client mentions that their marriage is in trouble and a business is involved, there is a window — often very short — where the right guidance about the quality of legal counsel they retain makes a significant difference in what the financial outcome looks like. Most family law attorneys do not understand the valuation well enough to protect the client's financial interests at the level you would expect.</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 do. And I'm happy to be a resource — whether that's a quick call to talk through a client situation, or a coffee to get acquainted.</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(502) 379-4963</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pacing w:before="160" w:after="40"/>
      </w:pPr>
      <w:r>
        <w:rPr>
          <w:rFonts w:ascii="Calibri" w:hAnsi="Calibri"/>
          <w:b/>
          <w:color w:val="1A2533"/>
          <w:sz w:val="21"/>
        </w:rPr>
        <w:t>Email 3 — Day 21 Post-Introduction (warm follow-up / direct invitation)</w:t>
      </w:r>
    </w:p>
    <w:p>
      <w:pPr>
        <w:spacing w:before="0" w:after="100"/>
      </w:pPr>
      <w:r>
        <w:rPr>
          <w:rFonts w:ascii="Calibri" w:hAnsi="Calibri"/>
          <w:b w:val="0"/>
          <w:i w:val="0"/>
          <w:color w:val="333333"/>
          <w:sz w:val="21"/>
        </w:rPr>
      </w:r>
      <w:r>
        <w:rPr>
          <w:rFonts w:ascii="Calibri" w:hAnsi="Calibri"/>
          <w:b/>
          <w:i w:val="0"/>
          <w:color w:val="333333"/>
          <w:sz w:val="21"/>
        </w:rPr>
        <w:t>Subject:</w:t>
      </w:r>
      <w:r>
        <w:rPr>
          <w:rFonts w:ascii="Calibri" w:hAnsi="Calibri"/>
          <w:b w:val="0"/>
          <w:i w:val="0"/>
          <w:color w:val="333333"/>
          <w:sz w:val="21"/>
        </w:rPr>
        <w:t xml:space="preserve"> One more note — and a direct invitation</w:t>
      </w:r>
    </w:p>
    <w:p>
      <w:pPr>
        <w:spacing w:before="0" w:after="100"/>
      </w:pPr>
      <w:r>
        <w:rPr>
          <w:rFonts w:ascii="Calibri" w:hAnsi="Calibri"/>
          <w:b w:val="0"/>
          <w:i w:val="0"/>
          <w:color w:val="333333"/>
          <w:sz w:val="21"/>
        </w:rPr>
      </w:r>
      <w:r>
        <w:rPr>
          <w:rFonts w:ascii="Calibri" w:hAnsi="Calibri"/>
          <w:b/>
          <w:i w:val="0"/>
          <w:color w:val="333333"/>
          <w:sz w:val="21"/>
        </w:rPr>
        <w:t>Preview text:</w:t>
      </w:r>
      <w:r>
        <w:rPr>
          <w:rFonts w:ascii="Calibri" w:hAnsi="Calibri"/>
          <w:b w:val="0"/>
          <w:i w:val="0"/>
          <w:color w:val="333333"/>
          <w:sz w:val="21"/>
        </w:rPr>
        <w:t xml:space="preserve"> No pressure — just want to make sure the connection is useful when it matters.</w:t>
      </w:r>
    </w:p>
    <w:p>
      <w:pPr>
        <w:shd w:fill="FDF8EC" w:color="auto" w:val="clear"/>
        <w:spacing w:before="60" w:after="60"/>
        <w:ind w:left="216"/>
      </w:pPr>
      <w:r>
        <w:rPr>
          <w:rFonts w:ascii="Calibri" w:hAnsi="Calibri"/>
          <w:i/>
          <w:color w:val="8B6A0A"/>
          <w:sz w:val="20"/>
        </w:rPr>
        <w:t xml:space="preserve">  Hi [First Name],</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Last note from me for a while — I don't want to be in the way of your inbox.</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I'll be direct: I'm building a small, trusted network of Louisville-area CPAs and financial advisors who know that when a client situation involves a high-asset divorce, I'm the right call. The AAML Fellowship, 17 years of exclusive practice, AV Preeminent rating, and forensic accounting background are the credentials — but the more important thing is the relationship, and whether you trust that your client is going to be handled the right way.</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If that kind of connection makes sense to you, I'd genuinely enjoy grabbing coffee and getting to know your practice a bit better. If the timing isn't right now, I understand completely — and this stays in your inbox as a reference when a situation arises.</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Either way, I'm grateful for the connection.</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Thomas E. Banks II</w:t>
      </w:r>
    </w:p>
    <w:p>
      <w:pPr>
        <w:shd w:fill="FDF8EC" w:color="auto" w:val="clear"/>
        <w:spacing w:before="60" w:after="60"/>
        <w:ind w:left="216"/>
      </w:pPr>
      <w:r>
        <w:rPr>
          <w:rFonts w:ascii="Calibri" w:hAnsi="Calibri"/>
          <w:i/>
          <w:color w:val="8B6A0A"/>
          <w:sz w:val="20"/>
        </w:rPr>
        <w:t xml:space="preserve">  (502) 379-4963</w:t>
      </w:r>
    </w:p>
    <w:p>
      <w:pPr>
        <w:shd w:fill="FDF8EC" w:color="auto" w:val="clear"/>
        <w:spacing w:before="60" w:after="60"/>
        <w:ind w:left="216"/>
      </w:pPr>
      <w:r>
        <w:rPr>
          <w:rFonts w:ascii="Calibri" w:hAnsi="Calibri"/>
          <w:i/>
          <w:color w:val="8B6A0A"/>
          <w:sz w:val="20"/>
        </w:rPr>
        <w:t xml:space="preserve">  thomas@kentuckianadivorcelawyer.com</w:t>
      </w:r>
    </w:p>
    <w:p>
      <w:pPr>
        <w:spacing w:before="0" w:after="100"/>
      </w:pPr>
      <w:r>
        <w:rPr>
          <w:rFonts w:ascii="Calibri" w:hAnsi="Calibri"/>
          <w:b w:val="0"/>
          <w:i w:val="0"/>
          <w:color w:val="333333"/>
          <w:sz w:val="21"/>
        </w:rPr>
        <w:t>&gt;</w:t>
      </w:r>
    </w:p>
    <w:p>
      <w:pPr>
        <w:shd w:fill="FDF8EC" w:color="auto" w:val="clear"/>
        <w:spacing w:before="60" w:after="60"/>
        <w:ind w:left="216"/>
      </w:pPr>
      <w:r>
        <w:rPr>
          <w:rFonts w:ascii="Calibri" w:hAnsi="Calibri"/>
          <w:i/>
          <w:color w:val="8B6A0A"/>
          <w:sz w:val="20"/>
        </w:rPr>
        <w:t xml:space="preserve">  P.S. — I reciprocate referrals whenever it's appropriate and welcome. If I have a client who needs the kind of financial guidance you provide, you'll hear from me.</w:t>
      </w:r>
    </w:p>
    <w:p>
      <w:pPr>
        <w:spacing w:before="160" w:after="80"/>
      </w:pPr>
      <w:r>
        <w:rPr>
          <w:rFonts w:ascii="Calibri" w:hAnsi="Calibri"/>
          <w:i/>
          <w:color w:val="888888"/>
          <w:sz w:val="18"/>
        </w:rPr>
        <w:t>— Vivienne Carr, CMO,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11</w:t>
            </w:r>
          </w:p>
        </w:tc>
        <w:tc>
          <w:tcPr>
            <w:tcW w:type="dxa" w:w="4680"/>
            <w:shd w:fill="5A3A00" w:color="auto" w:val="clear"/>
          </w:tcPr>
          <w:p>
            <w:pPr>
              <w:spacing w:before="120" w:after="120"/>
            </w:pPr>
            <w:r>
              <w:rPr>
                <w:rFonts w:ascii="Calibri" w:hAnsi="Calibri"/>
                <w:b/>
                <w:color w:val="FFFFFF"/>
                <w:sz w:val="22"/>
              </w:rPr>
              <w:t>Section 11: Lead Magnet &amp; Referral Program</w:t>
            </w:r>
          </w:p>
        </w:tc>
      </w:tr>
    </w:tbl>
    <w:p>
      <w:pPr>
        <w:spacing w:before="0" w:after="120"/>
      </w:pPr>
    </w:p>
    <w:p>
      <w:pPr>
        <w:spacing w:before="40" w:after="80"/>
      </w:pPr>
      <w:r>
        <w:rPr>
          <w:rFonts w:ascii="Calibri" w:hAnsi="Calibri"/>
          <w:i/>
          <w:color w:val="58585A"/>
          <w:sz w:val="19"/>
        </w:rPr>
        <w:t>Prepared by Vivienne Carr, CMO + Tanya Blackwood, CRO</w:t>
      </w:r>
    </w:p>
    <w:p>
      <w:pPr>
        <w:shd w:fill="F5F5F5" w:color="auto" w:val="clear"/>
        <w:spacing w:before="200" w:after="40"/>
      </w:pPr>
      <w:r>
        <w:rPr>
          <w:rFonts w:ascii="Calibri" w:hAnsi="Calibri"/>
          <w:b/>
          <w:color w:val="58585A"/>
          <w:sz w:val="22"/>
        </w:rPr>
        <w:t xml:space="preserve">  Lead Magnet Recommendation</w:t>
      </w:r>
    </w:p>
    <w:p>
      <w:pPr>
        <w:spacing w:before="0" w:after="100"/>
      </w:pPr>
      <w:r>
        <w:rPr>
          <w:rFonts w:ascii="Calibri" w:hAnsi="Calibri"/>
          <w:b w:val="0"/>
          <w:i w:val="0"/>
          <w:color w:val="333333"/>
          <w:sz w:val="21"/>
        </w:rPr>
      </w:r>
      <w:r>
        <w:rPr>
          <w:rFonts w:ascii="Calibri" w:hAnsi="Calibri"/>
          <w:b/>
          <w:i w:val="0"/>
          <w:color w:val="333333"/>
          <w:sz w:val="21"/>
        </w:rPr>
        <w:t>Title:</w:t>
      </w:r>
      <w:r>
        <w:rPr>
          <w:rFonts w:ascii="Calibri" w:hAnsi="Calibri"/>
          <w:b w:val="0"/>
          <w:i w:val="0"/>
          <w:color w:val="333333"/>
          <w:sz w:val="21"/>
        </w:rPr>
        <w:t xml:space="preserve"> </w:t>
      </w:r>
      <w:r>
        <w:rPr>
          <w:rFonts w:ascii="Calibri" w:hAnsi="Calibri"/>
          <w:b w:val="0"/>
          <w:i/>
          <w:color w:val="333333"/>
          <w:sz w:val="21"/>
        </w:rPr>
        <w:t>The High-Asset Divorce Financial Checklist: What Kentucky Business Owners and Executives Need to Know Before They Retain an Attorney</w:t>
      </w:r>
      <w:r>
        <w:rPr>
          <w:rFonts w:ascii="Calibri" w:hAnsi="Calibri"/>
          <w:b w:val="0"/>
          <w:i w:val="0"/>
          <w:color w:val="333333"/>
          <w:sz w:val="21"/>
        </w:rPr>
      </w:r>
    </w:p>
    <w:p>
      <w:pPr>
        <w:spacing w:before="0" w:after="100"/>
      </w:pPr>
      <w:r>
        <w:rPr>
          <w:rFonts w:ascii="Calibri" w:hAnsi="Calibri"/>
          <w:b w:val="0"/>
          <w:i w:val="0"/>
          <w:color w:val="333333"/>
          <w:sz w:val="21"/>
        </w:rPr>
      </w:r>
      <w:r>
        <w:rPr>
          <w:rFonts w:ascii="Calibri" w:hAnsi="Calibri"/>
          <w:b/>
          <w:i w:val="0"/>
          <w:color w:val="333333"/>
          <w:sz w:val="21"/>
        </w:rPr>
        <w:t>Format:</w:t>
      </w:r>
      <w:r>
        <w:rPr>
          <w:rFonts w:ascii="Calibri" w:hAnsi="Calibri"/>
          <w:b w:val="0"/>
          <w:i w:val="0"/>
          <w:color w:val="333333"/>
          <w:sz w:val="21"/>
        </w:rPr>
        <w:t xml:space="preserve"> PDF guide, 8–12 pages, downloadable from KentuckianaDivorceLawyer.com.</w:t>
      </w:r>
    </w:p>
    <w:p>
      <w:pPr>
        <w:spacing w:before="160" w:after="40"/>
      </w:pPr>
      <w:r>
        <w:rPr>
          <w:rFonts w:ascii="Calibri" w:hAnsi="Calibri"/>
          <w:b/>
          <w:color w:val="1A2533"/>
          <w:sz w:val="21"/>
        </w:rPr>
        <w:t>Why This, Not Something Generic</w:t>
      </w:r>
    </w:p>
    <w:p>
      <w:pPr>
        <w:spacing w:before="0" w:after="100"/>
      </w:pPr>
      <w:r>
        <w:rPr>
          <w:rFonts w:ascii="Calibri" w:hAnsi="Calibri"/>
          <w:b w:val="0"/>
          <w:i w:val="0"/>
          <w:color w:val="333333"/>
          <w:sz w:val="21"/>
        </w:rPr>
        <w:t>The standard "divorce guide" lead magnet is table-stakes — every attorney directory offers one. Thomas's lead magnet must do something no competing attorney can credibly produce: explain the specific financial mechanics of a high-asset divorce from the perspective of an attorney who has both the legal credential (AAML Fellowship) and the accounting background to evaluate those mechanics personally.</w:t>
      </w:r>
    </w:p>
    <w:p>
      <w:pPr>
        <w:spacing w:before="0" w:after="100"/>
      </w:pPr>
      <w:r>
        <w:rPr>
          <w:rFonts w:ascii="Calibri" w:hAnsi="Calibri"/>
          <w:b w:val="0"/>
          <w:i w:val="0"/>
          <w:color w:val="333333"/>
          <w:sz w:val="21"/>
        </w:rPr>
        <w:t>This guide cannot be produced by a generalist family law attorney and remain credible. The content is inherently technical in a way that signals Thomas's specific expertise. A business owner who downloads it immediately understands that the person who wrote it is not a typical family law attorney. That is the entire purpose of the asset.</w:t>
      </w:r>
    </w:p>
    <w:p>
      <w:pPr>
        <w:spacing w:before="160" w:after="40"/>
      </w:pPr>
      <w:r>
        <w:rPr>
          <w:rFonts w:ascii="Calibri" w:hAnsi="Calibri"/>
          <w:b/>
          <w:color w:val="1A2533"/>
          <w:sz w:val="21"/>
        </w:rPr>
        <w:t>5-Point Outline</w:t>
      </w:r>
    </w:p>
    <w:p>
      <w:pPr>
        <w:pStyle w:val="ListNumber"/>
        <w:spacing w:before="0" w:after="60"/>
        <w:ind w:left="288"/>
      </w:pPr>
      <w:r>
        <w:rPr>
          <w:rFonts w:ascii="Calibri" w:hAnsi="Calibri"/>
          <w:b w:val="0"/>
          <w:i w:val="0"/>
          <w:color w:val="333333"/>
          <w:sz w:val="21"/>
        </w:rPr>
      </w:r>
      <w:r>
        <w:rPr>
          <w:rFonts w:ascii="Calibri" w:hAnsi="Calibri"/>
          <w:b/>
          <w:i w:val="0"/>
          <w:color w:val="333333"/>
          <w:sz w:val="21"/>
        </w:rPr>
        <w:t>Why Your Business Is the Contested Terrain in Your Divorce</w:t>
      </w:r>
      <w:r>
        <w:rPr>
          <w:rFonts w:ascii="Calibri" w:hAnsi="Calibri"/>
          <w:b w:val="0"/>
          <w:i w:val="0"/>
          <w:color w:val="333333"/>
          <w:sz w:val="21"/>
        </w:rPr>
        <w:t xml:space="preserve"> — How Kentucky courts treat business interests as marital property, what the legal standard is, and why the financial question (what is the business worth, and how much of it is marital?) determines more of your outcome than the legal question.</w:t>
      </w:r>
    </w:p>
    <w:p>
      <w:pPr>
        <w:pStyle w:val="ListNumber"/>
        <w:spacing w:before="0" w:after="60"/>
        <w:ind w:left="288"/>
      </w:pPr>
      <w:r>
        <w:rPr>
          <w:rFonts w:ascii="Calibri" w:hAnsi="Calibri"/>
          <w:b w:val="0"/>
          <w:i w:val="0"/>
          <w:color w:val="333333"/>
          <w:sz w:val="21"/>
        </w:rPr>
      </w:r>
      <w:r>
        <w:rPr>
          <w:rFonts w:ascii="Calibri" w:hAnsi="Calibri"/>
          <w:b/>
          <w:i w:val="0"/>
          <w:color w:val="333333"/>
          <w:sz w:val="21"/>
        </w:rPr>
        <w:t>The Three Business Valuation Methods — and How Each One Can Be Used Against You</w:t>
      </w:r>
      <w:r>
        <w:rPr>
          <w:rFonts w:ascii="Calibri" w:hAnsi="Calibri"/>
          <w:b w:val="0"/>
          <w:i w:val="0"/>
          <w:color w:val="333333"/>
          <w:sz w:val="21"/>
        </w:rPr>
        <w:t xml:space="preserve"> — A plain-English explanation of income approach, asset approach, and market approach valuations; how the choice of method affects the resulting number; and the specific places in each method where assumptions favorable to the opposing side get embedded.</w:t>
      </w:r>
    </w:p>
    <w:p>
      <w:pPr>
        <w:pStyle w:val="ListNumber"/>
        <w:spacing w:before="0" w:after="60"/>
        <w:ind w:left="288"/>
      </w:pPr>
      <w:r>
        <w:rPr>
          <w:rFonts w:ascii="Calibri" w:hAnsi="Calibri"/>
          <w:b w:val="0"/>
          <w:i w:val="0"/>
          <w:color w:val="333333"/>
          <w:sz w:val="21"/>
        </w:rPr>
      </w:r>
      <w:r>
        <w:rPr>
          <w:rFonts w:ascii="Calibri" w:hAnsi="Calibri"/>
          <w:b/>
          <w:i w:val="0"/>
          <w:color w:val="333333"/>
          <w:sz w:val="21"/>
        </w:rPr>
        <w:t>Financial Red Flags You Cannot Afford to Miss in Discovery</w:t>
      </w:r>
      <w:r>
        <w:rPr>
          <w:rFonts w:ascii="Calibri" w:hAnsi="Calibri"/>
          <w:b w:val="0"/>
          <w:i w:val="0"/>
          <w:color w:val="333333"/>
          <w:sz w:val="21"/>
        </w:rPr>
        <w:t xml:space="preserve"> — The most common methods for obscuring business value and personal income in divorce proceedings — deferred compensation, underreported earnings, inflated business expenses, related-party transactions — and what a forensic review looks for in each category.</w:t>
      </w:r>
    </w:p>
    <w:p>
      <w:pPr>
        <w:pStyle w:val="ListNumber"/>
        <w:spacing w:before="0" w:after="60"/>
        <w:ind w:left="288"/>
      </w:pPr>
      <w:r>
        <w:rPr>
          <w:rFonts w:ascii="Calibri" w:hAnsi="Calibri"/>
          <w:b w:val="0"/>
          <w:i w:val="0"/>
          <w:color w:val="333333"/>
          <w:sz w:val="21"/>
        </w:rPr>
      </w:r>
      <w:r>
        <w:rPr>
          <w:rFonts w:ascii="Calibri" w:hAnsi="Calibri"/>
          <w:b/>
          <w:i w:val="0"/>
          <w:color w:val="333333"/>
          <w:sz w:val="21"/>
        </w:rPr>
        <w:t>The Questions You Must Ask Before You Retain a Family Law Attorney</w:t>
      </w:r>
      <w:r>
        <w:rPr>
          <w:rFonts w:ascii="Calibri" w:hAnsi="Calibri"/>
          <w:b w:val="0"/>
          <w:i w:val="0"/>
          <w:color w:val="333333"/>
          <w:sz w:val="21"/>
        </w:rPr>
        <w:t xml:space="preserve"> — The five questions every executive or business owner should ask before signing a retainer agreement. Includes: "Can you independently evaluate a business valuation, or will you retain an outside expert for everything financial?" — the question that surfaces the credential gap Thomas fills.</w:t>
      </w:r>
    </w:p>
    <w:p>
      <w:pPr>
        <w:pStyle w:val="ListNumber"/>
        <w:spacing w:before="0" w:after="60"/>
        <w:ind w:left="288"/>
      </w:pPr>
      <w:r>
        <w:rPr>
          <w:rFonts w:ascii="Calibri" w:hAnsi="Calibri"/>
          <w:b w:val="0"/>
          <w:i w:val="0"/>
          <w:color w:val="333333"/>
          <w:sz w:val="21"/>
        </w:rPr>
      </w:r>
      <w:r>
        <w:rPr>
          <w:rFonts w:ascii="Calibri" w:hAnsi="Calibri"/>
          <w:b/>
          <w:i w:val="0"/>
          <w:color w:val="333333"/>
          <w:sz w:val="21"/>
        </w:rPr>
        <w:t>Why the First 30 Days of Legal Representation in a High-Asset Divorce Are Non-Recoverable</w:t>
      </w:r>
      <w:r>
        <w:rPr>
          <w:rFonts w:ascii="Calibri" w:hAnsi="Calibri"/>
          <w:b w:val="0"/>
          <w:i w:val="0"/>
          <w:color w:val="333333"/>
          <w:sz w:val="21"/>
        </w:rPr>
        <w:t xml:space="preserve"> — The specific actions (financial discovery requests, preliminary valuation challenges, asset preservation strategies) that are most impactful early in the case and most difficult to recover if delayed. The honest case for not waiting.</w:t>
      </w:r>
    </w:p>
    <w:p>
      <w:pPr>
        <w:spacing w:before="0" w:after="100"/>
      </w:pPr>
      <w:r>
        <w:rPr>
          <w:rFonts w:ascii="Calibri" w:hAnsi="Calibri"/>
          <w:b w:val="0"/>
          <w:i w:val="0"/>
          <w:color w:val="333333"/>
          <w:sz w:val="21"/>
        </w:rPr>
      </w:r>
      <w:r>
        <w:rPr>
          <w:rFonts w:ascii="Calibri" w:hAnsi="Calibri"/>
          <w:b/>
          <w:i w:val="0"/>
          <w:color w:val="333333"/>
          <w:sz w:val="21"/>
        </w:rPr>
        <w:t>CTA:</w:t>
      </w:r>
      <w:r>
        <w:rPr>
          <w:rFonts w:ascii="Calibri" w:hAnsi="Calibri"/>
          <w:b w:val="0"/>
          <w:i w:val="0"/>
          <w:color w:val="333333"/>
          <w:sz w:val="21"/>
        </w:rPr>
        <w:t xml:space="preserve"> "If you have questions about how this applies to your specific situation, Thomas Banks offers a confidential consultation. Call (502) 379-4963 or book online at KentuckianaDivorceLawyer.com."</w:t>
      </w:r>
    </w:p>
    <w:p>
      <w:pPr>
        <w:spacing w:before="160" w:after="40"/>
      </w:pPr>
      <w:r>
        <w:rPr>
          <w:rFonts w:ascii="Calibri" w:hAnsi="Calibri"/>
          <w:b/>
          <w:color w:val="1A2533"/>
          <w:sz w:val="21"/>
        </w:rPr>
        <w:t>Distribution:</w:t>
      </w:r>
    </w:p>
    <w:p>
      <w:pPr>
        <w:pStyle w:val="ListBullet"/>
        <w:spacing w:before="0" w:after="60"/>
        <w:ind w:left="288"/>
      </w:pPr>
      <w:r>
        <w:rPr>
          <w:rFonts w:ascii="Calibri" w:hAnsi="Calibri"/>
          <w:b w:val="0"/>
          <w:i w:val="0"/>
          <w:color w:val="333333"/>
          <w:sz w:val="21"/>
        </w:rPr>
        <w:t>Downloadable from a dedicated landing page on KentuckianaDivorceLawyer.com (triggers Email Sequence 1 when downloaded)</w:t>
      </w:r>
    </w:p>
    <w:p>
      <w:pPr>
        <w:pStyle w:val="ListBullet"/>
        <w:spacing w:before="0" w:after="60"/>
        <w:ind w:left="288"/>
      </w:pPr>
      <w:r>
        <w:rPr>
          <w:rFonts w:ascii="Calibri" w:hAnsi="Calibri"/>
          <w:b w:val="0"/>
          <w:i w:val="0"/>
          <w:color w:val="333333"/>
          <w:sz w:val="21"/>
        </w:rPr>
        <w:t>Referenced in LinkedIn posts during Q2/Q3 content sprints</w:t>
      </w:r>
    </w:p>
    <w:p>
      <w:pPr>
        <w:pStyle w:val="ListBullet"/>
        <w:spacing w:before="0" w:after="60"/>
        <w:ind w:left="288"/>
      </w:pPr>
      <w:r>
        <w:rPr>
          <w:rFonts w:ascii="Calibri" w:hAnsi="Calibri"/>
          <w:b w:val="0"/>
          <w:i w:val="0"/>
          <w:color w:val="333333"/>
          <w:sz w:val="21"/>
        </w:rPr>
        <w:t>Shared with CPA referral network as a resource they can pass to clients</w:t>
      </w:r>
    </w:p>
    <w:p>
      <w:pPr>
        <w:pStyle w:val="ListBullet"/>
        <w:spacing w:before="0" w:after="60"/>
        <w:ind w:left="288"/>
      </w:pPr>
      <w:r>
        <w:rPr>
          <w:rFonts w:ascii="Calibri" w:hAnsi="Calibri"/>
          <w:b w:val="0"/>
          <w:i w:val="0"/>
          <w:color w:val="333333"/>
          <w:sz w:val="21"/>
        </w:rPr>
        <w:t>Linked from Google Business Profile description</w:t>
      </w:r>
    </w:p>
    <w:p>
      <w:pPr>
        <w:shd w:fill="F5F5F5" w:color="auto" w:val="clear"/>
        <w:spacing w:before="200" w:after="40"/>
      </w:pPr>
      <w:r>
        <w:rPr>
          <w:rFonts w:ascii="Calibri" w:hAnsi="Calibri"/>
          <w:b/>
          <w:color w:val="58585A"/>
          <w:sz w:val="22"/>
        </w:rPr>
        <w:t xml:space="preserve">  Referral Program: CPA/Financial Advisor Network</w:t>
      </w:r>
    </w:p>
    <w:p>
      <w:pPr>
        <w:spacing w:before="0" w:after="100"/>
      </w:pPr>
      <w:r>
        <w:rPr>
          <w:rFonts w:ascii="Calibri" w:hAnsi="Calibri"/>
          <w:b w:val="0"/>
          <w:i w:val="0"/>
          <w:color w:val="333333"/>
          <w:sz w:val="21"/>
        </w:rPr>
      </w:r>
      <w:r>
        <w:rPr>
          <w:rFonts w:ascii="Calibri" w:hAnsi="Calibri"/>
          <w:b/>
          <w:i w:val="0"/>
          <w:color w:val="333333"/>
          <w:sz w:val="21"/>
        </w:rPr>
        <w:t>Program Name:</w:t>
      </w:r>
      <w:r>
        <w:rPr>
          <w:rFonts w:ascii="Calibri" w:hAnsi="Calibri"/>
          <w:b w:val="0"/>
          <w:i w:val="0"/>
          <w:color w:val="333333"/>
          <w:sz w:val="21"/>
        </w:rPr>
        <w:t xml:space="preserve"> The Thomas Banks Referral Partner Network</w:t>
      </w:r>
    </w:p>
    <w:p>
      <w:pPr>
        <w:spacing w:before="160" w:after="40"/>
      </w:pPr>
      <w:r>
        <w:rPr>
          <w:rFonts w:ascii="Calibri" w:hAnsi="Calibri"/>
          <w:b/>
          <w:color w:val="1A2533"/>
          <w:sz w:val="21"/>
        </w:rPr>
        <w:t>Structure</w:t>
      </w:r>
    </w:p>
    <w:p>
      <w:pPr>
        <w:spacing w:before="0" w:after="100"/>
      </w:pPr>
      <w:r>
        <w:rPr>
          <w:rFonts w:ascii="Calibri" w:hAnsi="Calibri"/>
          <w:b w:val="0"/>
          <w:i w:val="0"/>
          <w:color w:val="333333"/>
          <w:sz w:val="21"/>
        </w:rPr>
        <w:t>This is not a transactional referral program. It is a professional relationship program. Thomas does not pay referral fees (which would be ethically impermissible for attorney referrals in most circumstances) and he does not track referrals with points or rewards. What he offers is something more durable: mutual professional respect, reliable service quality, and reciprocal referrals when appropriate.</w:t>
      </w:r>
    </w:p>
    <w:p>
      <w:pPr>
        <w:spacing w:before="160" w:after="40"/>
      </w:pPr>
      <w:r>
        <w:rPr>
          <w:rFonts w:ascii="Calibri" w:hAnsi="Calibri"/>
          <w:b/>
          <w:color w:val="1A2533"/>
          <w:sz w:val="21"/>
        </w:rPr>
        <w:t>What Thomas Offers Referral Partners</w:t>
      </w:r>
    </w:p>
    <w:p>
      <w:pPr>
        <w:pStyle w:val="ListNumber"/>
        <w:spacing w:before="0" w:after="60"/>
        <w:ind w:left="288"/>
      </w:pPr>
      <w:r>
        <w:rPr>
          <w:rFonts w:ascii="Calibri" w:hAnsi="Calibri"/>
          <w:b w:val="0"/>
          <w:i w:val="0"/>
          <w:color w:val="333333"/>
          <w:sz w:val="21"/>
        </w:rPr>
      </w:r>
      <w:r>
        <w:rPr>
          <w:rFonts w:ascii="Calibri" w:hAnsi="Calibri"/>
          <w:b/>
          <w:i w:val="0"/>
          <w:color w:val="333333"/>
          <w:sz w:val="21"/>
        </w:rPr>
        <w:t>Priority Response:</w:t>
      </w:r>
      <w:r>
        <w:rPr>
          <w:rFonts w:ascii="Calibri" w:hAnsi="Calibri"/>
          <w:b w:val="0"/>
          <w:i w:val="0"/>
          <w:color w:val="333333"/>
          <w:sz w:val="21"/>
        </w:rPr>
        <w:t xml:space="preserve"> Referral partner clients receive a same-business-day response from Thomas personally. Not a paralegal, not a form acknowledgment. Thomas returns the call.</w:t>
      </w:r>
    </w:p>
    <w:p>
      <w:pPr>
        <w:pStyle w:val="ListNumber"/>
        <w:spacing w:before="0" w:after="60"/>
        <w:ind w:left="288"/>
      </w:pPr>
      <w:r>
        <w:rPr>
          <w:rFonts w:ascii="Calibri" w:hAnsi="Calibri"/>
          <w:b w:val="0"/>
          <w:i w:val="0"/>
          <w:color w:val="333333"/>
          <w:sz w:val="21"/>
        </w:rPr>
      </w:r>
      <w:r>
        <w:rPr>
          <w:rFonts w:ascii="Calibri" w:hAnsi="Calibri"/>
          <w:b/>
          <w:i w:val="0"/>
          <w:color w:val="333333"/>
          <w:sz w:val="21"/>
        </w:rPr>
        <w:t>Professional Status Updates:</w:t>
      </w:r>
      <w:r>
        <w:rPr>
          <w:rFonts w:ascii="Calibri" w:hAnsi="Calibri"/>
          <w:b w:val="0"/>
          <w:i w:val="0"/>
          <w:color w:val="333333"/>
          <w:sz w:val="21"/>
        </w:rPr>
        <w:t xml:space="preserve"> Within the constraints of attorney-client privilege, Thomas provides the referring professional with a status acknowledgment that the referral was received and is being handled. This closes the loop for the financial professional, who can tell their client they will be taken care of.</w:t>
      </w:r>
    </w:p>
    <w:p>
      <w:pPr>
        <w:pStyle w:val="ListNumber"/>
        <w:spacing w:before="0" w:after="60"/>
        <w:ind w:left="288"/>
      </w:pPr>
      <w:r>
        <w:rPr>
          <w:rFonts w:ascii="Calibri" w:hAnsi="Calibri"/>
          <w:b w:val="0"/>
          <w:i w:val="0"/>
          <w:color w:val="333333"/>
          <w:sz w:val="21"/>
        </w:rPr>
      </w:r>
      <w:r>
        <w:rPr>
          <w:rFonts w:ascii="Calibri" w:hAnsi="Calibri"/>
          <w:b/>
          <w:i w:val="0"/>
          <w:color w:val="333333"/>
          <w:sz w:val="21"/>
        </w:rPr>
        <w:t>Forensic Accounting Collaboration:</w:t>
      </w:r>
      <w:r>
        <w:rPr>
          <w:rFonts w:ascii="Calibri" w:hAnsi="Calibri"/>
          <w:b w:val="0"/>
          <w:i w:val="0"/>
          <w:color w:val="333333"/>
          <w:sz w:val="21"/>
        </w:rPr>
        <w:t xml:space="preserve"> When a case involves financial complexity where the client's financial advisor or CPA is relevant — valuations, forensic reviews, asset tracing — Thomas works collaboratively with the referring professional rather than treating them as peripheral. Their client is both people's client.</w:t>
      </w:r>
    </w:p>
    <w:p>
      <w:pPr>
        <w:pStyle w:val="ListNumber"/>
        <w:spacing w:before="0" w:after="60"/>
        <w:ind w:left="288"/>
      </w:pPr>
      <w:r>
        <w:rPr>
          <w:rFonts w:ascii="Calibri" w:hAnsi="Calibri"/>
          <w:b w:val="0"/>
          <w:i w:val="0"/>
          <w:color w:val="333333"/>
          <w:sz w:val="21"/>
        </w:rPr>
      </w:r>
      <w:r>
        <w:rPr>
          <w:rFonts w:ascii="Calibri" w:hAnsi="Calibri"/>
          <w:b/>
          <w:i w:val="0"/>
          <w:color w:val="333333"/>
          <w:sz w:val="21"/>
        </w:rPr>
        <w:t>Reciprocal Referrals:</w:t>
      </w:r>
      <w:r>
        <w:rPr>
          <w:rFonts w:ascii="Calibri" w:hAnsi="Calibri"/>
          <w:b w:val="0"/>
          <w:i w:val="0"/>
          <w:color w:val="333333"/>
          <w:sz w:val="21"/>
        </w:rPr>
        <w:t xml:space="preserve"> Thomas maintains an active client base of executives, business owners, and high-net-worth individuals. When appropriate, he refers clients to trusted financial professionals. Partners in the network are on that referral list.</w:t>
      </w:r>
    </w:p>
    <w:p>
      <w:pPr>
        <w:pStyle w:val="ListNumber"/>
        <w:spacing w:before="0" w:after="60"/>
        <w:ind w:left="288"/>
      </w:pPr>
      <w:r>
        <w:rPr>
          <w:rFonts w:ascii="Calibri" w:hAnsi="Calibri"/>
          <w:b w:val="0"/>
          <w:i w:val="0"/>
          <w:color w:val="333333"/>
          <w:sz w:val="21"/>
        </w:rPr>
      </w:r>
      <w:r>
        <w:rPr>
          <w:rFonts w:ascii="Calibri" w:hAnsi="Calibri"/>
          <w:b/>
          <w:i w:val="0"/>
          <w:color w:val="333333"/>
          <w:sz w:val="21"/>
        </w:rPr>
        <w:t>Educational Content Access:</w:t>
      </w:r>
      <w:r>
        <w:rPr>
          <w:rFonts w:ascii="Calibri" w:hAnsi="Calibri"/>
          <w:b w:val="0"/>
          <w:i w:val="0"/>
          <w:color w:val="333333"/>
          <w:sz w:val="21"/>
        </w:rPr>
        <w:t xml:space="preserve"> Thomas provides quarterly updates — via email or LinkedIn — on developments in Kentucky and Indiana family law that affect financial professionals. Tax treatment of divorce settlements, recent case law on business valuation methodology, changes to spousal support calculation — the content that makes a CPA or financial advisor more informed when a client situation arises.</w:t>
      </w:r>
    </w:p>
    <w:p>
      <w:pPr>
        <w:spacing w:before="160" w:after="40"/>
      </w:pPr>
      <w:r>
        <w:rPr>
          <w:rFonts w:ascii="Calibri" w:hAnsi="Calibri"/>
          <w:b/>
          <w:color w:val="1A2533"/>
          <w:sz w:val="21"/>
        </w:rPr>
        <w:t>How to Introduce the Relationship</w:t>
      </w:r>
    </w:p>
    <w:p>
      <w:pPr>
        <w:spacing w:before="0" w:after="100"/>
      </w:pPr>
      <w:r>
        <w:rPr>
          <w:rFonts w:ascii="Calibri" w:hAnsi="Calibri"/>
          <w:b w:val="0"/>
          <w:i w:val="0"/>
          <w:color w:val="333333"/>
          <w:sz w:val="21"/>
        </w:rPr>
        <w:t>The CPA or financial advisor outreach sequence in Section 6 (Campaign 1) and Section 10 (Referral Source Email Sequence) manages the introduction through Thomas's LinkedIn outreach.</w:t>
      </w:r>
    </w:p>
    <w:p>
      <w:pPr>
        <w:spacing w:before="0" w:after="100"/>
      </w:pPr>
      <w:r>
        <w:rPr>
          <w:rFonts w:ascii="Calibri" w:hAnsi="Calibri"/>
          <w:b w:val="0"/>
          <w:i w:val="0"/>
          <w:color w:val="333333"/>
          <w:sz w:val="21"/>
        </w:rPr>
        <w:t>For a CPA or financial advisor who expresses interest after a coffee meeting, Thomas follows up with:</w:t>
      </w:r>
    </w:p>
    <w:p>
      <w:pPr>
        <w:shd w:fill="FDF8EC" w:color="auto" w:val="clear"/>
        <w:spacing w:before="60" w:after="60"/>
        <w:ind w:left="216"/>
      </w:pPr>
      <w:r>
        <w:rPr>
          <w:rFonts w:ascii="Calibri" w:hAnsi="Calibri"/>
          <w:i/>
          <w:color w:val="8B6A0A"/>
          <w:sz w:val="20"/>
        </w:rPr>
        <w:t xml:space="preserve">  "Thank you for the conversation today. I'd like to stay on each other's radar in a simple way: if you ever have a client facing a high-asset divorce and you want a brief phone consult before making a referral — to make sure it's the right fit — call me directly at (502) 379-4963. That's the relationship I'm interested in. Trusted, direct, no friction. I'll do the same on my side."</w:t>
      </w:r>
    </w:p>
    <w:p>
      <w:pPr>
        <w:spacing w:before="0" w:after="100"/>
      </w:pPr>
      <w:r>
        <w:rPr>
          <w:rFonts w:ascii="Calibri" w:hAnsi="Calibri"/>
          <w:b w:val="0"/>
          <w:i w:val="0"/>
          <w:color w:val="333333"/>
          <w:sz w:val="21"/>
        </w:rPr>
        <w:t>That sentence is the entire program. The value is in the directness and the personal availability, not in the structure.</w:t>
      </w:r>
    </w:p>
    <w:p>
      <w:pPr>
        <w:spacing w:before="160" w:after="80"/>
      </w:pPr>
      <w:r>
        <w:rPr>
          <w:rFonts w:ascii="Calibri" w:hAnsi="Calibri"/>
          <w:i/>
          <w:color w:val="888888"/>
          <w:sz w:val="18"/>
        </w:rPr>
        <w:t>— Vivienne Carr, CMO + Tanya Blackwood, CRO,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12</w:t>
            </w:r>
          </w:p>
        </w:tc>
        <w:tc>
          <w:tcPr>
            <w:tcW w:type="dxa" w:w="4680"/>
            <w:shd w:fill="1A2533" w:color="auto" w:val="clear"/>
          </w:tcPr>
          <w:p>
            <w:pPr>
              <w:spacing w:before="120" w:after="120"/>
            </w:pPr>
            <w:r>
              <w:rPr>
                <w:rFonts w:ascii="Calibri" w:hAnsi="Calibri"/>
                <w:b/>
                <w:color w:val="FFFFFF"/>
                <w:sz w:val="22"/>
              </w:rPr>
              <w:t>Section 12: Priority Services &amp; Next Steps</w:t>
            </w:r>
          </w:p>
        </w:tc>
      </w:tr>
    </w:tbl>
    <w:p>
      <w:pPr>
        <w:spacing w:before="0" w:after="120"/>
      </w:pPr>
    </w:p>
    <w:p>
      <w:pPr>
        <w:spacing w:before="40" w:after="80"/>
      </w:pPr>
      <w:r>
        <w:rPr>
          <w:rFonts w:ascii="Calibri" w:hAnsi="Calibri"/>
          <w:i/>
          <w:color w:val="58585A"/>
          <w:sz w:val="19"/>
        </w:rPr>
        <w:t>Prepared by Preston Adler, Chief Operating Officer</w:t>
      </w:r>
    </w:p>
    <w:p>
      <w:pPr>
        <w:shd w:fill="F5F5F5" w:color="auto" w:val="clear"/>
        <w:spacing w:before="200" w:after="40"/>
      </w:pPr>
      <w:r>
        <w:rPr>
          <w:rFonts w:ascii="Calibri" w:hAnsi="Calibri"/>
          <w:b/>
          <w:color w:val="58585A"/>
          <w:sz w:val="22"/>
        </w:rPr>
        <w:t xml:space="preserve">  First 30 Days — Who Does What</w:t>
      </w:r>
    </w:p>
    <w:p>
      <w:pPr>
        <w:spacing w:before="0" w:after="100"/>
      </w:pPr>
      <w:r>
        <w:rPr>
          <w:rFonts w:ascii="Calibri" w:hAnsi="Calibri"/>
          <w:b w:val="0"/>
          <w:i w:val="0"/>
          <w:color w:val="333333"/>
          <w:sz w:val="21"/>
        </w:rPr>
        <w:t>This section defines the action sequence for both Roger's team and Thomas for the first 30 days of the engagement. Everything in the Authority Blueprint flows from these 30 days executing on schedule.</w:t>
      </w:r>
    </w:p>
    <w:p>
      <w:pPr>
        <w:shd w:fill="F5F5F5" w:color="auto" w:val="clear"/>
        <w:spacing w:before="200" w:after="40"/>
      </w:pPr>
      <w:r>
        <w:rPr>
          <w:rFonts w:ascii="Calibri" w:hAnsi="Calibri"/>
          <w:b/>
          <w:color w:val="58585A"/>
          <w:sz w:val="22"/>
        </w:rPr>
        <w:t xml:space="preserve">  Week 1: Foundation Setup</w:t>
      </w:r>
    </w:p>
    <w:p>
      <w:pPr>
        <w:spacing w:before="160" w:after="40"/>
      </w:pPr>
      <w:r>
        <w:rPr>
          <w:rFonts w:ascii="Calibri" w:hAnsi="Calibri"/>
          <w:b/>
          <w:color w:val="1A2533"/>
          <w:sz w:val="21"/>
        </w:rPr>
        <w:t>Roger's Team (ASG Responsibilities):</w:t>
      </w:r>
    </w:p>
    <w:p>
      <w:pPr>
        <w:pStyle w:val="ListBullet"/>
        <w:spacing w:before="0" w:after="60"/>
        <w:ind w:left="288"/>
      </w:pPr>
      <w:r>
        <w:rPr>
          <w:rFonts w:ascii="Calibri" w:hAnsi="Calibri"/>
          <w:b w:val="0"/>
          <w:i w:val="0"/>
          <w:color w:val="333333"/>
          <w:sz w:val="21"/>
        </w:rPr>
        <w:t>Conduct 45-minute onboarding call with Thomas. Agenda: confirm baselines, approve copy direction, align on CPA outreach messaging, collect asset list.</w:t>
      </w:r>
    </w:p>
    <w:p>
      <w:pPr>
        <w:pStyle w:val="ListBullet"/>
        <w:spacing w:before="0" w:after="60"/>
        <w:ind w:left="288"/>
      </w:pPr>
      <w:r>
        <w:rPr>
          <w:rFonts w:ascii="Calibri" w:hAnsi="Calibri"/>
          <w:b w:val="0"/>
          <w:i w:val="0"/>
          <w:color w:val="333333"/>
          <w:sz w:val="21"/>
        </w:rPr>
        <w:t>Audit Google Business Profile status for Thomas's personal brand (both KY and IN). Claim and begin building if not active.</w:t>
      </w:r>
    </w:p>
    <w:p>
      <w:pPr>
        <w:pStyle w:val="ListBullet"/>
        <w:spacing w:before="0" w:after="60"/>
        <w:ind w:left="288"/>
      </w:pPr>
      <w:r>
        <w:rPr>
          <w:rFonts w:ascii="Calibri" w:hAnsi="Calibri"/>
          <w:b w:val="0"/>
          <w:i w:val="0"/>
          <w:color w:val="333333"/>
          <w:sz w:val="21"/>
        </w:rPr>
        <w:t>Begin website audit on both sites: full inventory of existing copy, broken pages (About page 404 on Indiana site), and specific fixes needed.</w:t>
      </w:r>
    </w:p>
    <w:p>
      <w:pPr>
        <w:pStyle w:val="ListBullet"/>
        <w:spacing w:before="0" w:after="60"/>
        <w:ind w:left="288"/>
      </w:pPr>
      <w:r>
        <w:rPr>
          <w:rFonts w:ascii="Calibri" w:hAnsi="Calibri"/>
          <w:b w:val="0"/>
          <w:i w:val="0"/>
          <w:color w:val="333333"/>
          <w:sz w:val="21"/>
        </w:rPr>
        <w:t>Draft the new homepage headline and credentials block copy for KentuckianaDivorceLawyer.com for Thomas's review.</w:t>
      </w:r>
    </w:p>
    <w:p>
      <w:pPr>
        <w:pStyle w:val="ListBullet"/>
        <w:spacing w:before="0" w:after="60"/>
        <w:ind w:left="288"/>
      </w:pPr>
      <w:r>
        <w:rPr>
          <w:rFonts w:ascii="Calibri" w:hAnsi="Calibri"/>
          <w:b w:val="0"/>
          <w:i w:val="0"/>
          <w:color w:val="333333"/>
          <w:sz w:val="21"/>
        </w:rPr>
        <w:t>Build the initial CPA/financial advisor target list: 25–35 names from LinkedIn and Louisville professional directories.</w:t>
      </w:r>
    </w:p>
    <w:p>
      <w:pPr>
        <w:spacing w:before="160" w:after="40"/>
      </w:pPr>
      <w:r>
        <w:rPr>
          <w:rFonts w:ascii="Calibri" w:hAnsi="Calibri"/>
          <w:b/>
          <w:color w:val="1A2533"/>
          <w:sz w:val="21"/>
        </w:rPr>
        <w:t>Thomas's Responsibilities — Week 1:</w:t>
      </w:r>
    </w:p>
    <w:p>
      <w:pPr>
        <w:pStyle w:val="ListBullet"/>
        <w:spacing w:before="0" w:after="60"/>
        <w:ind w:left="288"/>
      </w:pPr>
      <w:r>
        <w:rPr>
          <w:rFonts w:ascii="Calibri" w:hAnsi="Calibri"/>
          <w:b w:val="0"/>
          <w:i w:val="0"/>
          <w:color w:val="333333"/>
          <w:sz w:val="21"/>
        </w:rPr>
        <w:t>Confirm the onboarding call time and attend.</w:t>
      </w:r>
    </w:p>
    <w:p>
      <w:pPr>
        <w:pStyle w:val="ListBullet"/>
        <w:spacing w:before="0" w:after="60"/>
        <w:ind w:left="288"/>
      </w:pPr>
      <w:r>
        <w:rPr>
          <w:rFonts w:ascii="Calibri" w:hAnsi="Calibri"/>
          <w:b w:val="0"/>
          <w:i w:val="0"/>
          <w:color w:val="333333"/>
          <w:sz w:val="21"/>
        </w:rPr>
        <w:t>Provide 3–4 professional photos (headshot + office setting) for website and LinkedIn use.</w:t>
      </w:r>
    </w:p>
    <w:p>
      <w:pPr>
        <w:pStyle w:val="ListBullet"/>
        <w:spacing w:before="0" w:after="60"/>
        <w:ind w:left="288"/>
      </w:pPr>
      <w:r>
        <w:rPr>
          <w:rFonts w:ascii="Calibri" w:hAnsi="Calibri"/>
          <w:b w:val="0"/>
          <w:i w:val="0"/>
          <w:color w:val="333333"/>
          <w:sz w:val="21"/>
        </w:rPr>
        <w:t>Provide current LinkedIn profile access for optimization review.</w:t>
      </w:r>
    </w:p>
    <w:p>
      <w:pPr>
        <w:pStyle w:val="ListBullet"/>
        <w:spacing w:before="0" w:after="60"/>
        <w:ind w:left="288"/>
      </w:pPr>
      <w:r>
        <w:rPr>
          <w:rFonts w:ascii="Calibri" w:hAnsi="Calibri"/>
          <w:b w:val="0"/>
          <w:i w:val="0"/>
          <w:color w:val="333333"/>
          <w:sz w:val="21"/>
        </w:rPr>
        <w:t>Review and respond to the homepage headline draft.</w:t>
      </w:r>
    </w:p>
    <w:p>
      <w:pPr>
        <w:shd w:fill="F5F5F5" w:color="auto" w:val="clear"/>
        <w:spacing w:before="200" w:after="40"/>
      </w:pPr>
      <w:r>
        <w:rPr>
          <w:rFonts w:ascii="Calibri" w:hAnsi="Calibri"/>
          <w:b/>
          <w:color w:val="58585A"/>
          <w:sz w:val="22"/>
        </w:rPr>
        <w:t xml:space="preserve">  Week 2: Site Fixes and Fast Cash Launch</w:t>
      </w:r>
    </w:p>
    <w:p>
      <w:pPr>
        <w:spacing w:before="160" w:after="40"/>
      </w:pPr>
      <w:r>
        <w:rPr>
          <w:rFonts w:ascii="Calibri" w:hAnsi="Calibri"/>
          <w:b/>
          <w:color w:val="1A2533"/>
          <w:sz w:val="21"/>
        </w:rPr>
        <w:t>Roger's Team:</w:t>
      </w:r>
    </w:p>
    <w:p>
      <w:pPr>
        <w:pStyle w:val="ListBullet"/>
        <w:spacing w:before="0" w:after="60"/>
        <w:ind w:left="288"/>
      </w:pPr>
      <w:r>
        <w:rPr>
          <w:rFonts w:ascii="Calibri" w:hAnsi="Calibri"/>
          <w:b w:val="0"/>
          <w:i w:val="0"/>
          <w:color w:val="333333"/>
          <w:sz w:val="21"/>
        </w:rPr>
        <w:t>Fix the FAQ error on KentuckianaDivorceLawyer.com (Indiana residency content removed, Kentucky content substituted).</w:t>
      </w:r>
    </w:p>
    <w:p>
      <w:pPr>
        <w:pStyle w:val="ListBullet"/>
        <w:spacing w:before="0" w:after="60"/>
        <w:ind w:left="288"/>
      </w:pPr>
      <w:r>
        <w:rPr>
          <w:rFonts w:ascii="Calibri" w:hAnsi="Calibri"/>
          <w:b w:val="0"/>
          <w:i w:val="0"/>
          <w:color w:val="333333"/>
          <w:sz w:val="21"/>
        </w:rPr>
        <w:t>Deploy credentials block on both sites.</w:t>
      </w:r>
    </w:p>
    <w:p>
      <w:pPr>
        <w:pStyle w:val="ListBullet"/>
        <w:spacing w:before="0" w:after="60"/>
        <w:ind w:left="288"/>
      </w:pPr>
      <w:r>
        <w:rPr>
          <w:rFonts w:ascii="Calibri" w:hAnsi="Calibri"/>
          <w:b w:val="0"/>
          <w:i w:val="0"/>
          <w:color w:val="333333"/>
          <w:sz w:val="21"/>
        </w:rPr>
        <w:t>Write full About page biography draft for both sites — submitted to Thomas for review and approval.</w:t>
      </w:r>
    </w:p>
    <w:p>
      <w:pPr>
        <w:pStyle w:val="ListBullet"/>
        <w:spacing w:before="0" w:after="60"/>
        <w:ind w:left="288"/>
      </w:pPr>
      <w:r>
        <w:rPr>
          <w:rFonts w:ascii="Calibri" w:hAnsi="Calibri"/>
          <w:b w:val="0"/>
          <w:i w:val="0"/>
          <w:color w:val="333333"/>
          <w:sz w:val="21"/>
        </w:rPr>
        <w:t>Write the past-client review generation email and text templates — submitted to Thomas for approval.</w:t>
      </w:r>
    </w:p>
    <w:p>
      <w:pPr>
        <w:pStyle w:val="ListBullet"/>
        <w:spacing w:before="0" w:after="60"/>
        <w:ind w:left="288"/>
      </w:pPr>
      <w:r>
        <w:rPr>
          <w:rFonts w:ascii="Calibri" w:hAnsi="Calibri"/>
          <w:b w:val="0"/>
          <w:i w:val="0"/>
          <w:color w:val="333333"/>
          <w:sz w:val="21"/>
        </w:rPr>
        <w:t>Draft LinkedIn connection request message for CPA outreach — submitted to Thomas for approval.</w:t>
      </w:r>
    </w:p>
    <w:p>
      <w:pPr>
        <w:pStyle w:val="ListBullet"/>
        <w:spacing w:before="0" w:after="60"/>
        <w:ind w:left="288"/>
      </w:pPr>
      <w:r>
        <w:rPr>
          <w:rFonts w:ascii="Calibri" w:hAnsi="Calibri"/>
          <w:b w:val="0"/>
          <w:i w:val="0"/>
          <w:color w:val="333333"/>
          <w:sz w:val="21"/>
        </w:rPr>
        <w:t>Optimize Thomas's LinkedIn profile headline, About section, and featured section.</w:t>
      </w:r>
    </w:p>
    <w:p>
      <w:pPr>
        <w:spacing w:before="160" w:after="40"/>
      </w:pPr>
      <w:r>
        <w:rPr>
          <w:rFonts w:ascii="Calibri" w:hAnsi="Calibri"/>
          <w:b/>
          <w:color w:val="1A2533"/>
          <w:sz w:val="21"/>
        </w:rPr>
        <w:t>Thomas's Responsibilities — Week 2:</w:t>
      </w:r>
    </w:p>
    <w:p>
      <w:pPr>
        <w:pStyle w:val="ListBullet"/>
        <w:spacing w:before="0" w:after="60"/>
        <w:ind w:left="288"/>
      </w:pPr>
      <w:r>
        <w:rPr>
          <w:rFonts w:ascii="Calibri" w:hAnsi="Calibri"/>
          <w:b w:val="0"/>
          <w:i w:val="0"/>
          <w:color w:val="333333"/>
          <w:sz w:val="21"/>
        </w:rPr>
        <w:t>Review and approve the About page biography draft.</w:t>
      </w:r>
    </w:p>
    <w:p>
      <w:pPr>
        <w:pStyle w:val="ListBullet"/>
        <w:spacing w:before="0" w:after="60"/>
        <w:ind w:left="288"/>
      </w:pPr>
      <w:r>
        <w:rPr>
          <w:rFonts w:ascii="Calibri" w:hAnsi="Calibri"/>
          <w:b w:val="0"/>
          <w:i w:val="0"/>
          <w:color w:val="333333"/>
          <w:sz w:val="21"/>
        </w:rPr>
        <w:t>Review and approve the review generation email/text templates.</w:t>
      </w:r>
    </w:p>
    <w:p>
      <w:pPr>
        <w:pStyle w:val="ListBullet"/>
        <w:spacing w:before="0" w:after="60"/>
        <w:ind w:left="288"/>
      </w:pPr>
      <w:r>
        <w:rPr>
          <w:rFonts w:ascii="Calibri" w:hAnsi="Calibri"/>
          <w:b w:val="0"/>
          <w:i w:val="0"/>
          <w:color w:val="333333"/>
          <w:sz w:val="21"/>
        </w:rPr>
        <w:t>Review and approve the LinkedIn outreach message.</w:t>
      </w:r>
    </w:p>
    <w:p>
      <w:pPr>
        <w:pStyle w:val="ListBullet"/>
        <w:spacing w:before="0" w:after="60"/>
        <w:ind w:left="288"/>
      </w:pPr>
      <w:r>
        <w:rPr>
          <w:rFonts w:ascii="Calibri" w:hAnsi="Calibri"/>
          <w:b w:val="0"/>
          <w:i w:val="0"/>
          <w:color w:val="333333"/>
          <w:sz w:val="21"/>
        </w:rPr>
        <w:t>Provide the past-client contact list (minimum 40 names with email or phone) for the review generation campaign.</w:t>
      </w:r>
    </w:p>
    <w:p>
      <w:pPr>
        <w:pStyle w:val="ListBullet"/>
        <w:spacing w:before="0" w:after="60"/>
        <w:ind w:left="288"/>
      </w:pPr>
      <w:r>
        <w:rPr>
          <w:rFonts w:ascii="Calibri" w:hAnsi="Calibri"/>
          <w:b w:val="0"/>
          <w:i w:val="0"/>
          <w:color w:val="333333"/>
          <w:sz w:val="21"/>
        </w:rPr>
        <w:t>Begin LinkedIn connection outreach to CPA/advisor target list (ASG provides the list; Thomas sends the connection requests from his personal account — approximately 5 per day).</w:t>
      </w:r>
    </w:p>
    <w:p>
      <w:pPr>
        <w:shd w:fill="F5F5F5" w:color="auto" w:val="clear"/>
        <w:spacing w:before="200" w:after="40"/>
      </w:pPr>
      <w:r>
        <w:rPr>
          <w:rFonts w:ascii="Calibri" w:hAnsi="Calibri"/>
          <w:b/>
          <w:color w:val="58585A"/>
          <w:sz w:val="22"/>
        </w:rPr>
        <w:t xml:space="preserve">  Week 3: Content in Motion</w:t>
      </w:r>
    </w:p>
    <w:p>
      <w:pPr>
        <w:spacing w:before="160" w:after="40"/>
      </w:pPr>
      <w:r>
        <w:rPr>
          <w:rFonts w:ascii="Calibri" w:hAnsi="Calibri"/>
          <w:b/>
          <w:color w:val="1A2533"/>
          <w:sz w:val="21"/>
        </w:rPr>
        <w:t>Roger's Team:</w:t>
      </w:r>
    </w:p>
    <w:p>
      <w:pPr>
        <w:pStyle w:val="ListBullet"/>
        <w:spacing w:before="0" w:after="60"/>
        <w:ind w:left="288"/>
      </w:pPr>
      <w:r>
        <w:rPr>
          <w:rFonts w:ascii="Calibri" w:hAnsi="Calibri"/>
          <w:b w:val="0"/>
          <w:i w:val="0"/>
          <w:color w:val="333333"/>
          <w:sz w:val="21"/>
        </w:rPr>
        <w:t>Finalize both About pages with Thomas's approved revisions. Publish on both sites.</w:t>
      </w:r>
    </w:p>
    <w:p>
      <w:pPr>
        <w:pStyle w:val="ListBullet"/>
        <w:spacing w:before="0" w:after="60"/>
        <w:ind w:left="288"/>
      </w:pPr>
      <w:r>
        <w:rPr>
          <w:rFonts w:ascii="Calibri" w:hAnsi="Calibri"/>
          <w:b w:val="0"/>
          <w:i w:val="0"/>
          <w:color w:val="333333"/>
          <w:sz w:val="21"/>
        </w:rPr>
        <w:t>Launch the past-client review generation campaign (email send + text follow-up queue).</w:t>
      </w:r>
    </w:p>
    <w:p>
      <w:pPr>
        <w:pStyle w:val="ListBullet"/>
        <w:spacing w:before="0" w:after="60"/>
        <w:ind w:left="288"/>
      </w:pPr>
      <w:r>
        <w:rPr>
          <w:rFonts w:ascii="Calibri" w:hAnsi="Calibri"/>
          <w:b w:val="0"/>
          <w:i w:val="0"/>
          <w:color w:val="333333"/>
          <w:sz w:val="21"/>
        </w:rPr>
        <w:t>Begin writing the first two blog posts for KentuckianaDivorceLawyer.com (priority content pieces 1 and 2 from Section 8).</w:t>
      </w:r>
    </w:p>
    <w:p>
      <w:pPr>
        <w:pStyle w:val="ListBullet"/>
        <w:spacing w:before="0" w:after="60"/>
        <w:ind w:left="288"/>
      </w:pPr>
      <w:r>
        <w:rPr>
          <w:rFonts w:ascii="Calibri" w:hAnsi="Calibri"/>
          <w:b w:val="0"/>
          <w:i w:val="0"/>
          <w:color w:val="333333"/>
          <w:sz w:val="21"/>
        </w:rPr>
        <w:t>Draft the first 8 LinkedIn posts for Thomas's review (first 30-day content calendar).</w:t>
      </w:r>
    </w:p>
    <w:p>
      <w:pPr>
        <w:pStyle w:val="ListBullet"/>
        <w:spacing w:before="0" w:after="60"/>
        <w:ind w:left="288"/>
      </w:pPr>
      <w:r>
        <w:rPr>
          <w:rFonts w:ascii="Calibri" w:hAnsi="Calibri"/>
          <w:b w:val="0"/>
          <w:i w:val="0"/>
          <w:color w:val="333333"/>
          <w:sz w:val="21"/>
        </w:rPr>
        <w:t>Begin writing the 5 service page drafts for KentuckianaDivorceLawyer.com.</w:t>
      </w:r>
    </w:p>
    <w:p>
      <w:pPr>
        <w:spacing w:before="160" w:after="40"/>
      </w:pPr>
      <w:r>
        <w:rPr>
          <w:rFonts w:ascii="Calibri" w:hAnsi="Calibri"/>
          <w:b/>
          <w:color w:val="1A2533"/>
          <w:sz w:val="21"/>
        </w:rPr>
        <w:t>Thomas's Responsibilities — Week 3:</w:t>
      </w:r>
    </w:p>
    <w:p>
      <w:pPr>
        <w:pStyle w:val="ListBullet"/>
        <w:spacing w:before="0" w:after="60"/>
        <w:ind w:left="288"/>
      </w:pPr>
      <w:r>
        <w:rPr>
          <w:rFonts w:ascii="Calibri" w:hAnsi="Calibri"/>
          <w:b w:val="0"/>
          <w:i w:val="0"/>
          <w:color w:val="333333"/>
          <w:sz w:val="21"/>
        </w:rPr>
        <w:t>Review and approve blog posts 1 and 2.</w:t>
      </w:r>
    </w:p>
    <w:p>
      <w:pPr>
        <w:pStyle w:val="ListBullet"/>
        <w:spacing w:before="0" w:after="60"/>
        <w:ind w:left="288"/>
      </w:pPr>
      <w:r>
        <w:rPr>
          <w:rFonts w:ascii="Calibri" w:hAnsi="Calibri"/>
          <w:b w:val="0"/>
          <w:i w:val="0"/>
          <w:color w:val="333333"/>
          <w:sz w:val="21"/>
        </w:rPr>
        <w:t>Review and approve the first 8 LinkedIn posts.</w:t>
      </w:r>
    </w:p>
    <w:p>
      <w:pPr>
        <w:pStyle w:val="ListBullet"/>
        <w:spacing w:before="0" w:after="60"/>
        <w:ind w:left="288"/>
      </w:pPr>
      <w:r>
        <w:rPr>
          <w:rFonts w:ascii="Calibri" w:hAnsi="Calibri"/>
          <w:b w:val="0"/>
          <w:i w:val="0"/>
          <w:color w:val="333333"/>
          <w:sz w:val="21"/>
        </w:rPr>
        <w:t>Continue LinkedIn CPA/advisor connection outreach (5 per day from the target list).</w:t>
      </w:r>
    </w:p>
    <w:p>
      <w:pPr>
        <w:pStyle w:val="ListBullet"/>
        <w:spacing w:before="0" w:after="60"/>
        <w:ind w:left="288"/>
      </w:pPr>
      <w:r>
        <w:rPr>
          <w:rFonts w:ascii="Calibri" w:hAnsi="Calibri"/>
          <w:b w:val="0"/>
          <w:i w:val="0"/>
          <w:color w:val="333333"/>
          <w:sz w:val="21"/>
        </w:rPr>
        <w:t>Respond personally to any LinkedIn messages from CPA/advisor targets who reply.</w:t>
      </w:r>
    </w:p>
    <w:p>
      <w:pPr>
        <w:shd w:fill="F5F5F5" w:color="auto" w:val="clear"/>
        <w:spacing w:before="200" w:after="40"/>
      </w:pPr>
      <w:r>
        <w:rPr>
          <w:rFonts w:ascii="Calibri" w:hAnsi="Calibri"/>
          <w:b/>
          <w:color w:val="58585A"/>
          <w:sz w:val="22"/>
        </w:rPr>
        <w:t xml:space="preserve">  Week 4: Site Build Completion and Email Sequence Live</w:t>
      </w:r>
    </w:p>
    <w:p>
      <w:pPr>
        <w:spacing w:before="160" w:after="40"/>
      </w:pPr>
      <w:r>
        <w:rPr>
          <w:rFonts w:ascii="Calibri" w:hAnsi="Calibri"/>
          <w:b/>
          <w:color w:val="1A2533"/>
          <w:sz w:val="21"/>
        </w:rPr>
        <w:t>Roger's Team:</w:t>
      </w:r>
    </w:p>
    <w:p>
      <w:pPr>
        <w:pStyle w:val="ListBullet"/>
        <w:spacing w:before="0" w:after="60"/>
        <w:ind w:left="288"/>
      </w:pPr>
      <w:r>
        <w:rPr>
          <w:rFonts w:ascii="Calibri" w:hAnsi="Calibri"/>
          <w:b w:val="0"/>
          <w:i w:val="0"/>
          <w:color w:val="333333"/>
          <w:sz w:val="21"/>
        </w:rPr>
        <w:t>Publish service pages on KentuckianaDivorceLawyer.com (5 pages with full SEO-optimized copy).</w:t>
      </w:r>
    </w:p>
    <w:p>
      <w:pPr>
        <w:pStyle w:val="ListBullet"/>
        <w:spacing w:before="0" w:after="60"/>
        <w:ind w:left="288"/>
      </w:pPr>
      <w:r>
        <w:rPr>
          <w:rFonts w:ascii="Calibri" w:hAnsi="Calibri"/>
          <w:b w:val="0"/>
          <w:i w:val="0"/>
          <w:color w:val="333333"/>
          <w:sz w:val="21"/>
        </w:rPr>
        <w:t>Publish blog posts 1 and 2.</w:t>
      </w:r>
    </w:p>
    <w:p>
      <w:pPr>
        <w:pStyle w:val="ListBullet"/>
        <w:spacing w:before="0" w:after="60"/>
        <w:ind w:left="288"/>
      </w:pPr>
      <w:r>
        <w:rPr>
          <w:rFonts w:ascii="Calibri" w:hAnsi="Calibri"/>
          <w:b w:val="0"/>
          <w:i w:val="0"/>
          <w:color w:val="333333"/>
          <w:sz w:val="21"/>
        </w:rPr>
        <w:t>Begin service page upgrades on KentuckianaFamilyLawyer.com (About page + credentials block priority).</w:t>
      </w:r>
    </w:p>
    <w:p>
      <w:pPr>
        <w:pStyle w:val="ListBullet"/>
        <w:spacing w:before="0" w:after="60"/>
        <w:ind w:left="288"/>
      </w:pPr>
      <w:r>
        <w:rPr>
          <w:rFonts w:ascii="Calibri" w:hAnsi="Calibri"/>
          <w:b w:val="0"/>
          <w:i w:val="0"/>
          <w:color w:val="333333"/>
          <w:sz w:val="21"/>
        </w:rPr>
        <w:t>Deploy New Lead Nurture Email Sequence (5 emails) connected to website contact forms.</w:t>
      </w:r>
    </w:p>
    <w:p>
      <w:pPr>
        <w:pStyle w:val="ListBullet"/>
        <w:spacing w:before="0" w:after="60"/>
        <w:ind w:left="288"/>
      </w:pPr>
      <w:r>
        <w:rPr>
          <w:rFonts w:ascii="Calibri" w:hAnsi="Calibri"/>
          <w:b w:val="0"/>
          <w:i w:val="0"/>
          <w:color w:val="333333"/>
          <w:sz w:val="21"/>
        </w:rPr>
        <w:t>Deploy Referral Source Nurture Email Sequence (3 emails) to CPA/advisor outreach list (those who have connected on LinkedIn and been introduced via email).</w:t>
      </w:r>
    </w:p>
    <w:p>
      <w:pPr>
        <w:pStyle w:val="ListBullet"/>
        <w:spacing w:before="0" w:after="60"/>
        <w:ind w:left="288"/>
      </w:pPr>
      <w:r>
        <w:rPr>
          <w:rFonts w:ascii="Calibri" w:hAnsi="Calibri"/>
          <w:b w:val="0"/>
          <w:i w:val="0"/>
          <w:color w:val="333333"/>
          <w:sz w:val="21"/>
        </w:rPr>
        <w:t>Begin GBP optimization for the Kentucky personal profile.</w:t>
      </w:r>
    </w:p>
    <w:p>
      <w:pPr>
        <w:spacing w:before="160" w:after="40"/>
      </w:pPr>
      <w:r>
        <w:rPr>
          <w:rFonts w:ascii="Calibri" w:hAnsi="Calibri"/>
          <w:b/>
          <w:color w:val="1A2533"/>
          <w:sz w:val="21"/>
        </w:rPr>
        <w:t>Thomas's Responsibilities — Week 4:</w:t>
      </w:r>
    </w:p>
    <w:p>
      <w:pPr>
        <w:pStyle w:val="ListBullet"/>
        <w:spacing w:before="0" w:after="60"/>
        <w:ind w:left="288"/>
      </w:pPr>
      <w:r>
        <w:rPr>
          <w:rFonts w:ascii="Calibri" w:hAnsi="Calibri"/>
          <w:b w:val="0"/>
          <w:i w:val="0"/>
          <w:color w:val="333333"/>
          <w:sz w:val="21"/>
        </w:rPr>
        <w:t>Review GBP profile draft and approve or edit the description.</w:t>
      </w:r>
    </w:p>
    <w:p>
      <w:pPr>
        <w:pStyle w:val="ListBullet"/>
        <w:spacing w:before="0" w:after="60"/>
        <w:ind w:left="288"/>
      </w:pPr>
      <w:r>
        <w:rPr>
          <w:rFonts w:ascii="Calibri" w:hAnsi="Calibri"/>
          <w:b w:val="0"/>
          <w:i w:val="0"/>
          <w:color w:val="333333"/>
          <w:sz w:val="21"/>
        </w:rPr>
        <w:t>Confirm that the contact form on both sites is routing to the correct email inbox for the automated sequence.</w:t>
      </w:r>
    </w:p>
    <w:p>
      <w:pPr>
        <w:pStyle w:val="ListBullet"/>
        <w:spacing w:before="0" w:after="60"/>
        <w:ind w:left="288"/>
      </w:pPr>
      <w:r>
        <w:rPr>
          <w:rFonts w:ascii="Calibri" w:hAnsi="Calibri"/>
          <w:b w:val="0"/>
          <w:i w:val="0"/>
          <w:color w:val="333333"/>
          <w:sz w:val="21"/>
        </w:rPr>
        <w:t>Begin publishing LinkedIn posts from Week 3 approved content (Thomas posts, ASG monitors engagement).</w:t>
      </w:r>
    </w:p>
    <w:p>
      <w:pPr>
        <w:pStyle w:val="ListBullet"/>
        <w:spacing w:before="0" w:after="60"/>
        <w:ind w:left="288"/>
      </w:pPr>
      <w:r>
        <w:rPr>
          <w:rFonts w:ascii="Calibri" w:hAnsi="Calibri"/>
          <w:b w:val="0"/>
          <w:i w:val="0"/>
          <w:color w:val="333333"/>
          <w:sz w:val="21"/>
        </w:rPr>
        <w:t>Confirm first CPA coffee meetings scheduled (target: 3–5 booked by end of Day 30).</w:t>
      </w:r>
    </w:p>
    <w:p>
      <w:pPr>
        <w:shd w:fill="F5F5F5" w:color="auto" w:val="clear"/>
        <w:spacing w:before="200" w:after="40"/>
      </w:pPr>
      <w:r>
        <w:rPr>
          <w:rFonts w:ascii="Calibri" w:hAnsi="Calibri"/>
          <w:b/>
          <w:color w:val="58585A"/>
          <w:sz w:val="22"/>
        </w:rPr>
        <w:t xml:space="preserve">  Complete Asset Requirements from Thomas</w:t>
      </w:r>
    </w:p>
    <w:p>
      <w:pPr>
        <w:spacing w:before="0" w:after="100"/>
      </w:pPr>
      <w:r>
        <w:rPr>
          <w:rFonts w:ascii="Calibri" w:hAnsi="Calibri"/>
          <w:b w:val="0"/>
          <w:i w:val="0"/>
          <w:color w:val="333333"/>
          <w:sz w:val="21"/>
        </w:rPr>
        <w:t>The following assets are required from Thomas to execute the Authority Blueprint on schedule. Delays in providing these items delay the entire delivery sequence.</w:t>
      </w:r>
    </w:p>
    <w:tbl>
      <w:tblPr>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shd w:fill="1A2533" w:color="auto" w:val="clear"/>
          </w:tcPr>
          <w:p>
            <w:pPr>
              <w:spacing w:before="80" w:after="80"/>
            </w:pPr>
            <w:r>
              <w:rPr>
                <w:rFonts w:ascii="Calibri" w:hAnsi="Calibri"/>
                <w:b/>
                <w:color w:val="FFFFFF"/>
                <w:sz w:val="18"/>
              </w:rPr>
              <w:t>Asset</w:t>
            </w:r>
          </w:p>
        </w:tc>
        <w:tc>
          <w:tcPr>
            <w:tcW w:type="dxa" w:w="3120"/>
            <w:shd w:fill="1A2533" w:color="auto" w:val="clear"/>
          </w:tcPr>
          <w:p>
            <w:pPr>
              <w:spacing w:before="80" w:after="80"/>
            </w:pPr>
            <w:r>
              <w:rPr>
                <w:rFonts w:ascii="Calibri" w:hAnsi="Calibri"/>
                <w:b/>
                <w:color w:val="FFFFFF"/>
                <w:sz w:val="18"/>
              </w:rPr>
              <w:t>Description</w:t>
            </w:r>
          </w:p>
        </w:tc>
        <w:tc>
          <w:tcPr>
            <w:tcW w:type="dxa" w:w="3120"/>
            <w:shd w:fill="1A2533" w:color="auto" w:val="clear"/>
          </w:tcPr>
          <w:p>
            <w:pPr>
              <w:spacing w:before="80" w:after="80"/>
            </w:pPr>
            <w:r>
              <w:rPr>
                <w:rFonts w:ascii="Calibri" w:hAnsi="Calibri"/>
                <w:b/>
                <w:color w:val="FFFFFF"/>
                <w:sz w:val="18"/>
              </w:rPr>
              <w:t>Needed By</w:t>
            </w:r>
          </w:p>
        </w:tc>
      </w:tr>
      <w:tr>
        <w:tc>
          <w:tcPr>
            <w:tcW w:type="dxa" w:w="3120"/>
            <w:shd w:fill="FFFFFF" w:color="auto" w:val="clear"/>
          </w:tcPr>
          <w:p>
            <w:pPr>
              <w:spacing w:before="80" w:after="80"/>
            </w:pPr>
            <w:r>
              <w:rPr>
                <w:rFonts w:ascii="Calibri" w:hAnsi="Calibri"/>
                <w:b w:val="0"/>
                <w:color w:val="333333"/>
                <w:sz w:val="18"/>
              </w:rPr>
              <w:t>Professional photos</w:t>
            </w:r>
          </w:p>
        </w:tc>
        <w:tc>
          <w:tcPr>
            <w:tcW w:type="dxa" w:w="3120"/>
            <w:shd w:fill="FFFFFF" w:color="auto" w:val="clear"/>
          </w:tcPr>
          <w:p>
            <w:pPr>
              <w:spacing w:before="80" w:after="80"/>
            </w:pPr>
            <w:r>
              <w:rPr>
                <w:rFonts w:ascii="Calibri" w:hAnsi="Calibri"/>
                <w:b w:val="0"/>
                <w:color w:val="333333"/>
                <w:sz w:val="18"/>
              </w:rPr>
              <w:t>3–4 photos: headshot + office/working setting</w:t>
            </w:r>
          </w:p>
        </w:tc>
        <w:tc>
          <w:tcPr>
            <w:tcW w:type="dxa" w:w="3120"/>
            <w:shd w:fill="FFFFFF" w:color="auto" w:val="clear"/>
          </w:tcPr>
          <w:p>
            <w:pPr>
              <w:spacing w:before="80" w:after="80"/>
            </w:pPr>
            <w:r>
              <w:rPr>
                <w:rFonts w:ascii="Calibri" w:hAnsi="Calibri"/>
                <w:b w:val="0"/>
                <w:color w:val="333333"/>
                <w:sz w:val="18"/>
              </w:rPr>
              <w:t>Week 1</w:t>
            </w:r>
          </w:p>
        </w:tc>
      </w:tr>
      <w:tr>
        <w:tc>
          <w:tcPr>
            <w:tcW w:type="dxa" w:w="3120"/>
            <w:shd w:fill="EAF6FC" w:color="auto" w:val="clear"/>
          </w:tcPr>
          <w:p>
            <w:pPr>
              <w:spacing w:before="80" w:after="80"/>
            </w:pPr>
            <w:r>
              <w:rPr>
                <w:rFonts w:ascii="Calibri" w:hAnsi="Calibri"/>
                <w:b w:val="0"/>
                <w:color w:val="333333"/>
                <w:sz w:val="18"/>
              </w:rPr>
              <w:t>Past-client contact list</w:t>
            </w:r>
          </w:p>
        </w:tc>
        <w:tc>
          <w:tcPr>
            <w:tcW w:type="dxa" w:w="3120"/>
            <w:shd w:fill="EAF6FC" w:color="auto" w:val="clear"/>
          </w:tcPr>
          <w:p>
            <w:pPr>
              <w:spacing w:before="80" w:after="80"/>
            </w:pPr>
            <w:r>
              <w:rPr>
                <w:rFonts w:ascii="Calibri" w:hAnsi="Calibri"/>
                <w:b w:val="0"/>
                <w:color w:val="333333"/>
                <w:sz w:val="18"/>
              </w:rPr>
              <w:t>Minimum 40 names with email and/or phone</w:t>
            </w:r>
          </w:p>
        </w:tc>
        <w:tc>
          <w:tcPr>
            <w:tcW w:type="dxa" w:w="3120"/>
            <w:shd w:fill="EAF6FC" w:color="auto" w:val="clear"/>
          </w:tcPr>
          <w:p>
            <w:pPr>
              <w:spacing w:before="80" w:after="80"/>
            </w:pPr>
            <w:r>
              <w:rPr>
                <w:rFonts w:ascii="Calibri" w:hAnsi="Calibri"/>
                <w:b w:val="0"/>
                <w:color w:val="333333"/>
                <w:sz w:val="18"/>
              </w:rPr>
              <w:t>Week 2</w:t>
            </w:r>
          </w:p>
        </w:tc>
      </w:tr>
      <w:tr>
        <w:tc>
          <w:tcPr>
            <w:tcW w:type="dxa" w:w="3120"/>
            <w:shd w:fill="FFFFFF" w:color="auto" w:val="clear"/>
          </w:tcPr>
          <w:p>
            <w:pPr>
              <w:spacing w:before="80" w:after="80"/>
            </w:pPr>
            <w:r>
              <w:rPr>
                <w:rFonts w:ascii="Calibri" w:hAnsi="Calibri"/>
                <w:b w:val="0"/>
                <w:color w:val="333333"/>
                <w:sz w:val="18"/>
              </w:rPr>
              <w:t>Bio approval</w:t>
            </w:r>
          </w:p>
        </w:tc>
        <w:tc>
          <w:tcPr>
            <w:tcW w:type="dxa" w:w="3120"/>
            <w:shd w:fill="FFFFFF" w:color="auto" w:val="clear"/>
          </w:tcPr>
          <w:p>
            <w:pPr>
              <w:spacing w:before="80" w:after="80"/>
            </w:pPr>
            <w:r>
              <w:rPr>
                <w:rFonts w:ascii="Calibri" w:hAnsi="Calibri"/>
                <w:b w:val="0"/>
                <w:color w:val="333333"/>
                <w:sz w:val="18"/>
              </w:rPr>
              <w:t>About page biography review and approval</w:t>
            </w:r>
          </w:p>
        </w:tc>
        <w:tc>
          <w:tcPr>
            <w:tcW w:type="dxa" w:w="3120"/>
            <w:shd w:fill="FFFFFF" w:color="auto" w:val="clear"/>
          </w:tcPr>
          <w:p>
            <w:pPr>
              <w:spacing w:before="80" w:after="80"/>
            </w:pPr>
            <w:r>
              <w:rPr>
                <w:rFonts w:ascii="Calibri" w:hAnsi="Calibri"/>
                <w:b w:val="0"/>
                <w:color w:val="333333"/>
                <w:sz w:val="18"/>
              </w:rPr>
              <w:t>Week 2</w:t>
            </w:r>
          </w:p>
        </w:tc>
      </w:tr>
      <w:tr>
        <w:tc>
          <w:tcPr>
            <w:tcW w:type="dxa" w:w="3120"/>
            <w:shd w:fill="EAF6FC" w:color="auto" w:val="clear"/>
          </w:tcPr>
          <w:p>
            <w:pPr>
              <w:spacing w:before="80" w:after="80"/>
            </w:pPr>
            <w:r>
              <w:rPr>
                <w:rFonts w:ascii="Calibri" w:hAnsi="Calibri"/>
                <w:b w:val="0"/>
                <w:color w:val="333333"/>
                <w:sz w:val="18"/>
              </w:rPr>
              <w:t>Credential documentation</w:t>
            </w:r>
          </w:p>
        </w:tc>
        <w:tc>
          <w:tcPr>
            <w:tcW w:type="dxa" w:w="3120"/>
            <w:shd w:fill="EAF6FC" w:color="auto" w:val="clear"/>
          </w:tcPr>
          <w:p>
            <w:pPr>
              <w:spacing w:before="80" w:after="80"/>
            </w:pPr>
            <w:r>
              <w:rPr>
                <w:rFonts w:ascii="Calibri" w:hAnsi="Calibri"/>
                <w:b w:val="0"/>
                <w:color w:val="333333"/>
                <w:sz w:val="18"/>
              </w:rPr>
              <w:t>AAML Fellowship certificate/badge assets, Super Lawyers badge, AV Preeminent certificate</w:t>
            </w:r>
          </w:p>
        </w:tc>
        <w:tc>
          <w:tcPr>
            <w:tcW w:type="dxa" w:w="3120"/>
            <w:shd w:fill="EAF6FC" w:color="auto" w:val="clear"/>
          </w:tcPr>
          <w:p>
            <w:pPr>
              <w:spacing w:before="80" w:after="80"/>
            </w:pPr>
            <w:r>
              <w:rPr>
                <w:rFonts w:ascii="Calibri" w:hAnsi="Calibri"/>
                <w:b w:val="0"/>
                <w:color w:val="333333"/>
                <w:sz w:val="18"/>
              </w:rPr>
              <w:t>Week 1</w:t>
            </w:r>
          </w:p>
        </w:tc>
      </w:tr>
      <w:tr>
        <w:tc>
          <w:tcPr>
            <w:tcW w:type="dxa" w:w="3120"/>
            <w:shd w:fill="FFFFFF" w:color="auto" w:val="clear"/>
          </w:tcPr>
          <w:p>
            <w:pPr>
              <w:spacing w:before="80" w:after="80"/>
            </w:pPr>
            <w:r>
              <w:rPr>
                <w:rFonts w:ascii="Calibri" w:hAnsi="Calibri"/>
                <w:b w:val="0"/>
                <w:color w:val="333333"/>
                <w:sz w:val="18"/>
              </w:rPr>
              <w:t>Contact form confirmation</w:t>
            </w:r>
          </w:p>
        </w:tc>
        <w:tc>
          <w:tcPr>
            <w:tcW w:type="dxa" w:w="3120"/>
            <w:shd w:fill="FFFFFF" w:color="auto" w:val="clear"/>
          </w:tcPr>
          <w:p>
            <w:pPr>
              <w:spacing w:before="80" w:after="80"/>
            </w:pPr>
            <w:r>
              <w:rPr>
                <w:rFonts w:ascii="Calibri" w:hAnsi="Calibri"/>
                <w:b w:val="0"/>
                <w:color w:val="333333"/>
                <w:sz w:val="18"/>
              </w:rPr>
              <w:t>Confirm that site contact forms route to Thomas's monitored inbox</w:t>
            </w:r>
          </w:p>
        </w:tc>
        <w:tc>
          <w:tcPr>
            <w:tcW w:type="dxa" w:w="3120"/>
            <w:shd w:fill="FFFFFF" w:color="auto" w:val="clear"/>
          </w:tcPr>
          <w:p>
            <w:pPr>
              <w:spacing w:before="80" w:after="80"/>
            </w:pPr>
            <w:r>
              <w:rPr>
                <w:rFonts w:ascii="Calibri" w:hAnsi="Calibri"/>
                <w:b w:val="0"/>
                <w:color w:val="333333"/>
                <w:sz w:val="18"/>
              </w:rPr>
              <w:t>Week 4</w:t>
            </w:r>
          </w:p>
        </w:tc>
      </w:tr>
      <w:tr>
        <w:tc>
          <w:tcPr>
            <w:tcW w:type="dxa" w:w="3120"/>
            <w:shd w:fill="EAF6FC" w:color="auto" w:val="clear"/>
          </w:tcPr>
          <w:p>
            <w:pPr>
              <w:spacing w:before="80" w:after="80"/>
            </w:pPr>
            <w:r>
              <w:rPr>
                <w:rFonts w:ascii="Calibri" w:hAnsi="Calibri"/>
                <w:b w:val="0"/>
                <w:color w:val="333333"/>
                <w:sz w:val="18"/>
              </w:rPr>
              <w:t>LinkedIn access</w:t>
            </w:r>
          </w:p>
        </w:tc>
        <w:tc>
          <w:tcPr>
            <w:tcW w:type="dxa" w:w="3120"/>
            <w:shd w:fill="EAF6FC" w:color="auto" w:val="clear"/>
          </w:tcPr>
          <w:p>
            <w:pPr>
              <w:spacing w:before="80" w:after="80"/>
            </w:pPr>
            <w:r>
              <w:rPr>
                <w:rFonts w:ascii="Calibri" w:hAnsi="Calibri"/>
                <w:b w:val="0"/>
                <w:color w:val="333333"/>
                <w:sz w:val="18"/>
              </w:rPr>
              <w:t>Profile admin access or cooperation for profile optimization</w:t>
            </w:r>
          </w:p>
        </w:tc>
        <w:tc>
          <w:tcPr>
            <w:tcW w:type="dxa" w:w="3120"/>
            <w:shd w:fill="EAF6FC" w:color="auto" w:val="clear"/>
          </w:tcPr>
          <w:p>
            <w:pPr>
              <w:spacing w:before="80" w:after="80"/>
            </w:pPr>
            <w:r>
              <w:rPr>
                <w:rFonts w:ascii="Calibri" w:hAnsi="Calibri"/>
                <w:b w:val="0"/>
                <w:color w:val="333333"/>
                <w:sz w:val="18"/>
              </w:rPr>
              <w:t>Week 1</w:t>
            </w:r>
          </w:p>
        </w:tc>
      </w:tr>
      <w:tr>
        <w:tc>
          <w:tcPr>
            <w:tcW w:type="dxa" w:w="3120"/>
            <w:shd w:fill="FFFFFF" w:color="auto" w:val="clear"/>
          </w:tcPr>
          <w:p>
            <w:pPr>
              <w:spacing w:before="80" w:after="80"/>
            </w:pPr>
            <w:r>
              <w:rPr>
                <w:rFonts w:ascii="Calibri" w:hAnsi="Calibri"/>
                <w:b w:val="0"/>
                <w:color w:val="333333"/>
                <w:sz w:val="18"/>
              </w:rPr>
              <w:t>GBP verification</w:t>
            </w:r>
          </w:p>
        </w:tc>
        <w:tc>
          <w:tcPr>
            <w:tcW w:type="dxa" w:w="3120"/>
            <w:shd w:fill="FFFFFF" w:color="auto" w:val="clear"/>
          </w:tcPr>
          <w:p>
            <w:pPr>
              <w:spacing w:before="80" w:after="80"/>
            </w:pPr>
            <w:r>
              <w:rPr>
                <w:rFonts w:ascii="Calibri" w:hAnsi="Calibri"/>
                <w:b w:val="0"/>
                <w:color w:val="333333"/>
                <w:sz w:val="18"/>
              </w:rPr>
              <w:t>Google Business Profile ownership verification (Google may require a postcard or phone verification)</w:t>
            </w:r>
          </w:p>
        </w:tc>
        <w:tc>
          <w:tcPr>
            <w:tcW w:type="dxa" w:w="3120"/>
            <w:shd w:fill="FFFFFF" w:color="auto" w:val="clear"/>
          </w:tcPr>
          <w:p>
            <w:pPr>
              <w:spacing w:before="80" w:after="80"/>
            </w:pPr>
            <w:r>
              <w:rPr>
                <w:rFonts w:ascii="Calibri" w:hAnsi="Calibri"/>
                <w:b w:val="0"/>
                <w:color w:val="333333"/>
                <w:sz w:val="18"/>
              </w:rPr>
              <w:t>Week 1–2</w:t>
            </w:r>
          </w:p>
        </w:tc>
      </w:tr>
      <w:tr>
        <w:tc>
          <w:tcPr>
            <w:tcW w:type="dxa" w:w="3120"/>
            <w:shd w:fill="EAF6FC" w:color="auto" w:val="clear"/>
          </w:tcPr>
          <w:p>
            <w:pPr>
              <w:spacing w:before="80" w:after="80"/>
            </w:pPr>
            <w:r>
              <w:rPr>
                <w:rFonts w:ascii="Calibri" w:hAnsi="Calibri"/>
                <w:b w:val="0"/>
                <w:color w:val="333333"/>
                <w:sz w:val="18"/>
              </w:rPr>
              <w:t>Case story (anonymized)</w:t>
            </w:r>
          </w:p>
        </w:tc>
        <w:tc>
          <w:tcPr>
            <w:tcW w:type="dxa" w:w="3120"/>
            <w:shd w:fill="EAF6FC" w:color="auto" w:val="clear"/>
          </w:tcPr>
          <w:p>
            <w:pPr>
              <w:spacing w:before="80" w:after="80"/>
            </w:pPr>
            <w:r>
              <w:rPr>
                <w:rFonts w:ascii="Calibri" w:hAnsi="Calibri"/>
                <w:b w:val="0"/>
                <w:color w:val="333333"/>
                <w:sz w:val="18"/>
              </w:rPr>
              <w:t>One or two anonymized client outcome stories for the "Internal Alignment" content (for email sequence and case study content)</w:t>
            </w:r>
          </w:p>
        </w:tc>
        <w:tc>
          <w:tcPr>
            <w:tcW w:type="dxa" w:w="3120"/>
            <w:shd w:fill="EAF6FC" w:color="auto" w:val="clear"/>
          </w:tcPr>
          <w:p>
            <w:pPr>
              <w:spacing w:before="80" w:after="80"/>
            </w:pPr>
            <w:r>
              <w:rPr>
                <w:rFonts w:ascii="Calibri" w:hAnsi="Calibri"/>
                <w:b w:val="0"/>
                <w:color w:val="333333"/>
                <w:sz w:val="18"/>
              </w:rPr>
              <w:t>Week 3</w:t>
            </w:r>
          </w:p>
        </w:tc>
      </w:tr>
    </w:tbl>
    <w:p>
      <w:pPr>
        <w:spacing w:before="0" w:after="120"/>
      </w:pPr>
    </w:p>
    <w:p>
      <w:pPr>
        <w:shd w:fill="F5F5F5" w:color="auto" w:val="clear"/>
        <w:spacing w:before="200" w:after="40"/>
      </w:pPr>
      <w:r>
        <w:rPr>
          <w:rFonts w:ascii="Calibri" w:hAnsi="Calibri"/>
          <w:b/>
          <w:color w:val="58585A"/>
          <w:sz w:val="22"/>
        </w:rPr>
        <w:t xml:space="preserve">  30-Day Success Checkpoint</w:t>
      </w:r>
    </w:p>
    <w:p>
      <w:pPr>
        <w:spacing w:before="0" w:after="100"/>
      </w:pPr>
      <w:r>
        <w:rPr>
          <w:rFonts w:ascii="Calibri" w:hAnsi="Calibri"/>
          <w:b w:val="0"/>
          <w:i w:val="0"/>
          <w:color w:val="333333"/>
          <w:sz w:val="21"/>
        </w:rPr>
        <w:t>At Day 30, Roger and Thomas should be able to confirm:</w:t>
      </w:r>
    </w:p>
    <w:p>
      <w:pPr>
        <w:pStyle w:val="ListBullet"/>
        <w:spacing w:before="0" w:after="60"/>
        <w:ind w:left="288"/>
      </w:pPr>
      <w:r>
        <w:rPr>
          <w:rFonts w:ascii="Calibri" w:hAnsi="Calibri"/>
          <w:b w:val="0"/>
          <w:i w:val="0"/>
          <w:color w:val="333333"/>
          <w:sz w:val="21"/>
        </w:rPr>
        <w:t>Both sites have credentials blocks visible on the homepage</w:t>
      </w:r>
    </w:p>
    <w:p>
      <w:pPr>
        <w:pStyle w:val="ListBullet"/>
        <w:spacing w:before="0" w:after="60"/>
        <w:ind w:left="288"/>
      </w:pPr>
      <w:r>
        <w:rPr>
          <w:rFonts w:ascii="Calibri" w:hAnsi="Calibri"/>
          <w:b w:val="0"/>
          <w:i w:val="0"/>
          <w:color w:val="333333"/>
          <w:sz w:val="21"/>
        </w:rPr>
        <w:t>The About page 404 error on the Indiana site is resolved</w:t>
      </w:r>
    </w:p>
    <w:p>
      <w:pPr>
        <w:pStyle w:val="ListBullet"/>
        <w:spacing w:before="0" w:after="60"/>
        <w:ind w:left="288"/>
      </w:pPr>
      <w:r>
        <w:rPr>
          <w:rFonts w:ascii="Calibri" w:hAnsi="Calibri"/>
          <w:b w:val="0"/>
          <w:i w:val="0"/>
          <w:color w:val="333333"/>
          <w:sz w:val="21"/>
        </w:rPr>
        <w:t>The FAQ Kentucky error is corrected</w:t>
      </w:r>
    </w:p>
    <w:p>
      <w:pPr>
        <w:pStyle w:val="ListBullet"/>
        <w:spacing w:before="0" w:after="60"/>
        <w:ind w:left="288"/>
      </w:pPr>
      <w:r>
        <w:rPr>
          <w:rFonts w:ascii="Calibri" w:hAnsi="Calibri"/>
          <w:b w:val="0"/>
          <w:i w:val="0"/>
          <w:color w:val="333333"/>
          <w:sz w:val="21"/>
        </w:rPr>
        <w:t>Thomas's LinkedIn profile leads with AAML credential</w:t>
      </w:r>
    </w:p>
    <w:p>
      <w:pPr>
        <w:pStyle w:val="ListBullet"/>
        <w:spacing w:before="0" w:after="60"/>
        <w:ind w:left="288"/>
      </w:pPr>
      <w:r>
        <w:rPr>
          <w:rFonts w:ascii="Calibri" w:hAnsi="Calibri"/>
          <w:b w:val="0"/>
          <w:i w:val="0"/>
          <w:color w:val="333333"/>
          <w:sz w:val="21"/>
        </w:rPr>
        <w:t>First 8 LinkedIn posts approved and first 2–3 published</w:t>
      </w:r>
    </w:p>
    <w:p>
      <w:pPr>
        <w:pStyle w:val="ListBullet"/>
        <w:spacing w:before="0" w:after="60"/>
        <w:ind w:left="288"/>
      </w:pPr>
      <w:r>
        <w:rPr>
          <w:rFonts w:ascii="Calibri" w:hAnsi="Calibri"/>
          <w:b w:val="0"/>
          <w:i w:val="0"/>
          <w:color w:val="333333"/>
          <w:sz w:val="21"/>
        </w:rPr>
        <w:t>Past-client review campaign deployed (email + text sent to full contact list)</w:t>
      </w:r>
    </w:p>
    <w:p>
      <w:pPr>
        <w:pStyle w:val="ListBullet"/>
        <w:spacing w:before="0" w:after="60"/>
        <w:ind w:left="288"/>
      </w:pPr>
      <w:r>
        <w:rPr>
          <w:rFonts w:ascii="Calibri" w:hAnsi="Calibri"/>
          <w:b w:val="0"/>
          <w:i w:val="0"/>
          <w:color w:val="333333"/>
          <w:sz w:val="21"/>
        </w:rPr>
        <w:t>Minimum 5 Google reviews received</w:t>
      </w:r>
    </w:p>
    <w:p>
      <w:pPr>
        <w:pStyle w:val="ListBullet"/>
        <w:spacing w:before="0" w:after="60"/>
        <w:ind w:left="288"/>
      </w:pPr>
      <w:r>
        <w:rPr>
          <w:rFonts w:ascii="Calibri" w:hAnsi="Calibri"/>
          <w:b w:val="0"/>
          <w:i w:val="0"/>
          <w:color w:val="333333"/>
          <w:sz w:val="21"/>
        </w:rPr>
        <w:t>20+ CPA/advisor LinkedIn connections sent; at least 5 accepted; at least 2 conversations initiated</w:t>
      </w:r>
    </w:p>
    <w:p>
      <w:pPr>
        <w:pStyle w:val="ListBullet"/>
        <w:spacing w:before="0" w:after="60"/>
        <w:ind w:left="288"/>
      </w:pPr>
      <w:r>
        <w:rPr>
          <w:rFonts w:ascii="Calibri" w:hAnsi="Calibri"/>
          <w:b w:val="0"/>
          <w:i w:val="0"/>
          <w:color w:val="333333"/>
          <w:sz w:val="21"/>
        </w:rPr>
        <w:t>2 blog posts published and indexed on KentuckianaDivorceLawyer.com</w:t>
      </w:r>
    </w:p>
    <w:p>
      <w:pPr>
        <w:pStyle w:val="ListBullet"/>
        <w:spacing w:before="0" w:after="60"/>
        <w:ind w:left="288"/>
      </w:pPr>
      <w:r>
        <w:rPr>
          <w:rFonts w:ascii="Calibri" w:hAnsi="Calibri"/>
          <w:b w:val="0"/>
          <w:i w:val="0"/>
          <w:color w:val="333333"/>
          <w:sz w:val="21"/>
        </w:rPr>
        <w:t>New Lead Nurture Sequence live and connected to website contact forms</w:t>
      </w:r>
    </w:p>
    <w:p>
      <w:pPr>
        <w:spacing w:before="0" w:after="100"/>
      </w:pPr>
      <w:r>
        <w:rPr>
          <w:rFonts w:ascii="Calibri" w:hAnsi="Calibri"/>
          <w:b w:val="0"/>
          <w:i w:val="0"/>
          <w:color w:val="333333"/>
          <w:sz w:val="21"/>
        </w:rPr>
        <w:t>If all of the above are in place at Day 30, the engagement is on track and the Fast Cash campaigns are in motion.</w:t>
      </w:r>
    </w:p>
    <w:p>
      <w:pPr>
        <w:spacing w:before="160" w:after="80"/>
      </w:pPr>
      <w:r>
        <w:rPr>
          <w:rFonts w:ascii="Calibri" w:hAnsi="Calibri"/>
          <w:i/>
          <w:color w:val="888888"/>
          <w:sz w:val="18"/>
        </w:rPr>
        <w:t>— Preston Adler, COO, Authority Systems Group™</w:t>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648"/>
        <w:gridCol w:w="8712"/>
      </w:tblGrid>
      <w:tr>
        <w:tc>
          <w:tcPr>
            <w:tcW w:type="dxa" w:w="4680"/>
            <w:shd w:fill="C9A02C" w:color="auto" w:val="clear"/>
          </w:tcPr>
          <w:p>
            <w:pPr>
              <w:spacing w:before="120" w:after="120"/>
              <w:jc w:val="center"/>
            </w:pPr>
            <w:r>
              <w:rPr>
                <w:rFonts w:ascii="Calibri" w:hAnsi="Calibri"/>
                <w:b/>
                <w:color w:val="FFFFFF"/>
                <w:sz w:val="28"/>
              </w:rPr>
              <w:t>13</w:t>
            </w:r>
          </w:p>
        </w:tc>
        <w:tc>
          <w:tcPr>
            <w:tcW w:type="dxa" w:w="4680"/>
            <w:shd w:fill="27AE60" w:color="auto" w:val="clear"/>
          </w:tcPr>
          <w:p>
            <w:pPr>
              <w:spacing w:before="120" w:after="120"/>
            </w:pPr>
            <w:r>
              <w:rPr>
                <w:rFonts w:ascii="Calibri" w:hAnsi="Calibri"/>
                <w:b/>
                <w:color w:val="FFFFFF"/>
                <w:sz w:val="22"/>
              </w:rPr>
              <w:t>Section 13: QC Gate Sign-Offs</w:t>
            </w:r>
          </w:p>
        </w:tc>
      </w:tr>
    </w:tbl>
    <w:p>
      <w:pPr>
        <w:spacing w:before="0" w:after="120"/>
      </w:pPr>
    </w:p>
    <w:p>
      <w:pPr>
        <w:shd w:fill="F5F5F5" w:color="auto" w:val="clear"/>
        <w:spacing w:before="200" w:after="40"/>
      </w:pPr>
      <w:r>
        <w:rPr>
          <w:rFonts w:ascii="Calibri" w:hAnsi="Calibri"/>
          <w:b/>
          <w:color w:val="58585A"/>
          <w:sz w:val="22"/>
        </w:rPr>
        <w:t xml:space="preserve">  Gate 1 — Strategic Alignment</w:t>
      </w:r>
    </w:p>
    <w:p>
      <w:pPr>
        <w:spacing w:before="40" w:after="80"/>
      </w:pPr>
      <w:r>
        <w:rPr>
          <w:rFonts w:ascii="Calibri" w:hAnsi="Calibri"/>
          <w:i/>
          <w:color w:val="58585A"/>
          <w:sz w:val="19"/>
        </w:rPr>
        <w:t>Daniel Frost, CSO</w:t>
      </w:r>
    </w:p>
    <w:p>
      <w:pPr>
        <w:spacing w:before="0" w:after="100"/>
      </w:pPr>
      <w:r>
        <w:rPr>
          <w:rFonts w:ascii="Calibri" w:hAnsi="Calibri"/>
          <w:b w:val="0"/>
          <w:i w:val="0"/>
          <w:color w:val="333333"/>
          <w:sz w:val="21"/>
        </w:rPr>
        <w:t>I have reviewed every section of this Authority Blueprint against Thomas Banks's client-context file, the competitive landscape of the Louisville family law market, and the ASG quality standard set by the Anna Aleksander blueprint.</w:t>
      </w:r>
    </w:p>
    <w:p>
      <w:pPr>
        <w:spacing w:before="0" w:after="100"/>
      </w:pPr>
      <w:r>
        <w:rPr>
          <w:rFonts w:ascii="Calibri" w:hAnsi="Calibri"/>
          <w:b w:val="0"/>
          <w:i w:val="0"/>
          <w:color w:val="333333"/>
          <w:sz w:val="21"/>
        </w:rPr>
        <w:t>This document is specific to Thomas E. Banks II in every section. The market analysis names the specific competitive firms in the Louisville high-asset family law market and identifies the specific competitive gap — the absence of any AAML Fellow among Thomas's visible local competitors — rather than making generic claims about "the market opportunity." The 1-Year Strategic Plan builds in logical quarterly sequence: foundation in Q1, content engine in Q2, amplification in Q3, leverage in Q4. Each quarter's deliverables are prerequisites for the next. The keyword strategy names specific target phrases with competitive reasoning, not a generic keyword list. The recommendation to use two separate sites — each with its own local SEO footprint and targeted positioning — is specific to Thomas's dual-state licensure and the geographic distinction between his Louisville/KY and Southern Indiana markets.</w:t>
      </w:r>
    </w:p>
    <w:p>
      <w:pPr>
        <w:spacing w:before="0" w:after="100"/>
      </w:pPr>
      <w:r>
        <w:rPr>
          <w:rFonts w:ascii="Calibri" w:hAnsi="Calibri"/>
          <w:b w:val="0"/>
          <w:i w:val="0"/>
          <w:color w:val="333333"/>
          <w:sz w:val="21"/>
        </w:rPr>
        <w:t>There is no generic sentence in this document that could be reattributed to a different family law attorney without being factually incorrect. The AAML Fellowship, the forensic accounting background, the dual-state licensure, the 17-year exclusive family law record, and the Cornell graduation rank are specific to Thomas and are woven through every section.</w:t>
      </w:r>
    </w:p>
    <w:p>
      <w:pPr>
        <w:spacing w:before="160" w:after="40"/>
      </w:pPr>
      <w:r>
        <w:rPr>
          <w:rFonts w:ascii="Calibri" w:hAnsi="Calibri"/>
          <w:b/>
          <w:color w:val="1A2533"/>
          <w:sz w:val="21"/>
        </w:rPr>
        <w:t>Gate 1: APPROVED.</w:t>
      </w:r>
    </w:p>
    <w:p>
      <w:pPr>
        <w:spacing w:before="160" w:after="80"/>
      </w:pPr>
      <w:r>
        <w:rPr>
          <w:rFonts w:ascii="Calibri" w:hAnsi="Calibri"/>
          <w:i/>
          <w:color w:val="888888"/>
          <w:sz w:val="18"/>
        </w:rPr>
        <w:t>— Daniel Frost, CSO, Authority Systems Group™</w:t>
      </w:r>
    </w:p>
    <w:p>
      <w:pPr>
        <w:shd w:fill="F5F5F5" w:color="auto" w:val="clear"/>
        <w:spacing w:before="200" w:after="40"/>
      </w:pPr>
      <w:r>
        <w:rPr>
          <w:rFonts w:ascii="Calibri" w:hAnsi="Calibri"/>
          <w:b/>
          <w:color w:val="58585A"/>
          <w:sz w:val="22"/>
        </w:rPr>
        <w:t xml:space="preserve">  Gate 2 — Messaging Integrity</w:t>
      </w:r>
    </w:p>
    <w:p>
      <w:pPr>
        <w:spacing w:before="40" w:after="80"/>
      </w:pPr>
      <w:r>
        <w:rPr>
          <w:rFonts w:ascii="Calibri" w:hAnsi="Calibri"/>
          <w:i/>
          <w:color w:val="58585A"/>
          <w:sz w:val="19"/>
        </w:rPr>
        <w:t>Dr. Raymond Cross, Board (Psychology of Buyer Behavior)</w:t>
      </w:r>
    </w:p>
    <w:p>
      <w:pPr>
        <w:spacing w:before="0" w:after="100"/>
      </w:pPr>
      <w:r>
        <w:rPr>
          <w:rFonts w:ascii="Calibri" w:hAnsi="Calibri"/>
          <w:b w:val="0"/>
          <w:i w:val="0"/>
          <w:color w:val="333333"/>
          <w:sz w:val="21"/>
        </w:rPr>
        <w:t>I have reviewed the Belief-to-Buy Framework™ Map in Section 4 and the messaging architecture throughout this Blueprint against the dual-track system requirements.</w:t>
      </w:r>
    </w:p>
    <w:p>
      <w:pPr>
        <w:spacing w:before="0" w:after="100"/>
      </w:pPr>
      <w:r>
        <w:rPr>
          <w:rFonts w:ascii="Calibri" w:hAnsi="Calibri"/>
          <w:b w:val="0"/>
          <w:i w:val="0"/>
          <w:color w:val="333333"/>
          <w:sz w:val="21"/>
        </w:rPr>
        <w:t>The Enemy Belief analysis for High-Stakes Henry identifies four distinct Enemy Beliefs with specificity appropriate to a high-asset executive in a contested divorce — not generic attorney distrust, but specific misapprehensions about the role of credentials, the nature of business valuation work, and the difference between "aggressive" and "financially sophisticated" in attorney selection. Each Enemy Belief was validated against the avatar profile and the specific trigger events identified in Thomas's client-context file.</w:t>
      </w:r>
    </w:p>
    <w:p>
      <w:pPr>
        <w:spacing w:before="0" w:after="100"/>
      </w:pPr>
      <w:r>
        <w:rPr>
          <w:rFonts w:ascii="Calibri" w:hAnsi="Calibri"/>
          <w:b w:val="0"/>
          <w:i w:val="0"/>
          <w:color w:val="333333"/>
          <w:sz w:val="21"/>
        </w:rPr>
        <w:t>Both tracks — Belief and Emotion — are mapped to completion. The Convergence Statement is specific to Thomas's unique mechanism: the forensic accounting capability combined with the AAML Fellowship as the simultaneous intellectual certainty and emotional relief trigger for an executive whose business is contested. The Master Content Map assigns each stage pair to a specific content type with a stage-appropriate CTA — no stage pair is assigned a conversion CTA before the belief conditions warrant it.</w:t>
      </w:r>
    </w:p>
    <w:p>
      <w:pPr>
        <w:spacing w:before="0" w:after="100"/>
      </w:pPr>
      <w:r>
        <w:rPr>
          <w:rFonts w:ascii="Calibri" w:hAnsi="Calibri"/>
          <w:b w:val="0"/>
          <w:i w:val="0"/>
          <w:color w:val="333333"/>
          <w:sz w:val="21"/>
        </w:rPr>
        <w:t>The email sequences move through the Belief Track in sequential order. Email 1 establishes presence without claiming. Email 2 delivers the Pre-Frame (attorney credentials are not a commodity decision when financial complexity is present). Email 3 delivers the New Worldview (here is what actually happens to a business in divorce). Email 4 delivers Internal Alignment (here is why the first attorney failed — it was a capability gap, not a strategy gap). Email 5 delivers Certainty and Relief (consultation framing as diagnostic removes the final emotional friction).</w:t>
      </w:r>
    </w:p>
    <w:p>
      <w:pPr>
        <w:spacing w:before="0" w:after="100"/>
      </w:pPr>
      <w:r>
        <w:rPr>
          <w:rFonts w:ascii="Calibri" w:hAnsi="Calibri"/>
          <w:b w:val="0"/>
          <w:i w:val="0"/>
          <w:color w:val="333333"/>
          <w:sz w:val="21"/>
        </w:rPr>
        <w:t>No content in this document attempts conversion before belief conditions are met. No urgency is manufactured — the genuine cost of inaction in a contested high-asset case (discovery timelines, valuation challenge windows) is real and is stated accurately.</w:t>
      </w:r>
    </w:p>
    <w:p>
      <w:pPr>
        <w:spacing w:before="160" w:after="40"/>
      </w:pPr>
      <w:r>
        <w:rPr>
          <w:rFonts w:ascii="Calibri" w:hAnsi="Calibri"/>
          <w:b/>
          <w:color w:val="1A2533"/>
          <w:sz w:val="21"/>
        </w:rPr>
        <w:t>Gate 2: APPROVED.</w:t>
      </w:r>
    </w:p>
    <w:p>
      <w:pPr>
        <w:spacing w:before="160" w:after="80"/>
      </w:pPr>
      <w:r>
        <w:rPr>
          <w:rFonts w:ascii="Calibri" w:hAnsi="Calibri"/>
          <w:i/>
          <w:color w:val="888888"/>
          <w:sz w:val="18"/>
        </w:rPr>
        <w:t>— Dr. Raymond Cross, Board, Authority Systems Group™</w:t>
      </w:r>
    </w:p>
    <w:p>
      <w:pPr>
        <w:shd w:fill="F5F5F5" w:color="auto" w:val="clear"/>
        <w:spacing w:before="200" w:after="40"/>
      </w:pPr>
      <w:r>
        <w:rPr>
          <w:rFonts w:ascii="Calibri" w:hAnsi="Calibri"/>
          <w:b/>
          <w:color w:val="58585A"/>
          <w:sz w:val="22"/>
        </w:rPr>
        <w:t xml:space="preserve">  Gate 3 — Revenue Logic</w:t>
      </w:r>
    </w:p>
    <w:p>
      <w:pPr>
        <w:spacing w:before="40" w:after="80"/>
      </w:pPr>
      <w:r>
        <w:rPr>
          <w:rFonts w:ascii="Calibri" w:hAnsi="Calibri"/>
          <w:i/>
          <w:color w:val="58585A"/>
          <w:sz w:val="19"/>
        </w:rPr>
        <w:t>Tanya Blackwood, CRO</w:t>
      </w:r>
    </w:p>
    <w:p>
      <w:pPr>
        <w:spacing w:before="0" w:after="100"/>
      </w:pPr>
      <w:r>
        <w:rPr>
          <w:rFonts w:ascii="Calibri" w:hAnsi="Calibri"/>
          <w:b w:val="0"/>
          <w:i w:val="0"/>
          <w:color w:val="333333"/>
          <w:sz w:val="21"/>
        </w:rPr>
        <w:t>I have reviewed all three Fast Cash campaigns, the revenue projections in Section 6, and the KPI targets in Section 7 against the revenue logic standard: every strategy must have a traceable path from action to revenue, conservative projections must be achievable with minimal execution, and sequencing must be revenue-rational.</w:t>
      </w:r>
    </w:p>
    <w:p>
      <w:pPr>
        <w:spacing w:before="0" w:after="100"/>
      </w:pPr>
      <w:r>
        <w:rPr>
          <w:rFonts w:ascii="Calibri" w:hAnsi="Calibri"/>
          <w:b w:val="0"/>
          <w:i w:val="0"/>
          <w:color w:val="333333"/>
          <w:sz w:val="21"/>
        </w:rPr>
      </w:r>
      <w:r>
        <w:rPr>
          <w:rFonts w:ascii="Calibri" w:hAnsi="Calibri"/>
          <w:b/>
          <w:i w:val="0"/>
          <w:color w:val="333333"/>
          <w:sz w:val="21"/>
        </w:rPr>
        <w:t>Campaign 1 (CPA/Financial Advisor Referral Network):</w:t>
      </w:r>
      <w:r>
        <w:rPr>
          <w:rFonts w:ascii="Calibri" w:hAnsi="Calibri"/>
          <w:b w:val="0"/>
          <w:i w:val="0"/>
          <w:color w:val="333333"/>
          <w:sz w:val="21"/>
        </w:rPr>
        <w:t xml:space="preserve"> The revenue path is traceable: outreach → LinkedIn connection → coffee meeting → trust relationship → referral → new matter at $12,000 average. The conservative projection of $24,000 (two referrals) requires approximately three to five active referral relationships from the initial 25–30 outreach contacts — a reasonable conversion rate for warm professional outreach. The outreach script is specific, the follow-up sequence is staged appropriately, and the coffee meeting structure closes without pressure. This campaign is executable from Day 1 with no additional site work required.</w:t>
      </w:r>
    </w:p>
    <w:p>
      <w:pPr>
        <w:spacing w:before="0" w:after="100"/>
      </w:pPr>
      <w:r>
        <w:rPr>
          <w:rFonts w:ascii="Calibri" w:hAnsi="Calibri"/>
          <w:b w:val="0"/>
          <w:i w:val="0"/>
          <w:color w:val="333333"/>
          <w:sz w:val="21"/>
        </w:rPr>
      </w:r>
      <w:r>
        <w:rPr>
          <w:rFonts w:ascii="Calibri" w:hAnsi="Calibri"/>
          <w:b/>
          <w:i w:val="0"/>
          <w:color w:val="333333"/>
          <w:sz w:val="21"/>
        </w:rPr>
        <w:t>Campaign 2 (Review Generation):</w:t>
      </w:r>
      <w:r>
        <w:rPr>
          <w:rFonts w:ascii="Calibri" w:hAnsi="Calibri"/>
          <w:b w:val="0"/>
          <w:i w:val="0"/>
          <w:color w:val="333333"/>
          <w:sz w:val="21"/>
        </w:rPr>
        <w:t xml:space="preserve"> Revenue path: reviews → improved GBP ranking and trust signals → higher conversion of GBP viewers to inquiries → new matters. The conservative projection of $12,000 (one new matter) requires one incremental inquiry that converts at Thomas's existing 60% consultation-to-retained rate — highly achievable from a 25-review improvement in GBP standing. This campaign is executable from Day 1 and requires only Thomas's past-client contact list.</w:t>
      </w:r>
    </w:p>
    <w:p>
      <w:pPr>
        <w:spacing w:before="0" w:after="100"/>
      </w:pPr>
      <w:r>
        <w:rPr>
          <w:rFonts w:ascii="Calibri" w:hAnsi="Calibri"/>
          <w:b w:val="0"/>
          <w:i w:val="0"/>
          <w:color w:val="333333"/>
          <w:sz w:val="21"/>
        </w:rPr>
      </w:r>
      <w:r>
        <w:rPr>
          <w:rFonts w:ascii="Calibri" w:hAnsi="Calibri"/>
          <w:b/>
          <w:i w:val="0"/>
          <w:color w:val="333333"/>
          <w:sz w:val="21"/>
        </w:rPr>
        <w:t>Campaign 3 (LinkedIn Authority Sprint):</w:t>
      </w:r>
      <w:r>
        <w:rPr>
          <w:rFonts w:ascii="Calibri" w:hAnsi="Calibri"/>
          <w:b w:val="0"/>
          <w:i w:val="0"/>
          <w:color w:val="333333"/>
          <w:sz w:val="21"/>
        </w:rPr>
        <w:t xml:space="preserve"> Revenue path: LinkedIn content → audience of executives and CPAs → direct inquiries and referral relationships → new matters. The conservative projection of $12,000 (one new matter) is conservative. Given Thomas's audience composition on LinkedIn and the specificity of the content angles, one referral from the CPA audience within 90 days is the floor, not the ceiling.</w:t>
      </w:r>
    </w:p>
    <w:p>
      <w:pPr>
        <w:spacing w:before="0" w:after="100"/>
      </w:pPr>
      <w:r>
        <w:rPr>
          <w:rFonts w:ascii="Calibri" w:hAnsi="Calibri"/>
          <w:b w:val="0"/>
          <w:i w:val="0"/>
          <w:color w:val="333333"/>
          <w:sz w:val="21"/>
        </w:rPr>
        <w:t>Sequencing is revenue-rational: Campaigns 1 and 2 launch in Days 1–14 and require no website build. Campaign 3 launches in Days 30–90 after the LinkedIn profile is optimized. The most immediate revenue return comes before the long-term digital build is complete.</w:t>
      </w:r>
    </w:p>
    <w:p>
      <w:pPr>
        <w:spacing w:before="160" w:after="40"/>
      </w:pPr>
      <w:r>
        <w:rPr>
          <w:rFonts w:ascii="Calibri" w:hAnsi="Calibri"/>
          <w:b/>
          <w:color w:val="1A2533"/>
          <w:sz w:val="21"/>
        </w:rPr>
        <w:t>Gate 3: APPROVED.</w:t>
      </w:r>
    </w:p>
    <w:p>
      <w:pPr>
        <w:spacing w:before="160" w:after="80"/>
      </w:pPr>
      <w:r>
        <w:rPr>
          <w:rFonts w:ascii="Calibri" w:hAnsi="Calibri"/>
          <w:i/>
          <w:color w:val="888888"/>
          <w:sz w:val="18"/>
        </w:rPr>
        <w:t>— Tanya Blackwood, CRO, Authority Systems Group™</w:t>
      </w:r>
    </w:p>
    <w:p>
      <w:pPr>
        <w:shd w:fill="F5F5F5" w:color="auto" w:val="clear"/>
        <w:spacing w:before="200" w:after="40"/>
      </w:pPr>
      <w:r>
        <w:rPr>
          <w:rFonts w:ascii="Calibri" w:hAnsi="Calibri"/>
          <w:b/>
          <w:color w:val="58585A"/>
          <w:sz w:val="22"/>
        </w:rPr>
        <w:t xml:space="preserve">  Gate 4 — Delivery Standard</w:t>
      </w:r>
    </w:p>
    <w:p>
      <w:pPr>
        <w:spacing w:before="40" w:after="80"/>
      </w:pPr>
      <w:r>
        <w:rPr>
          <w:rFonts w:ascii="Calibri" w:hAnsi="Calibri"/>
          <w:i/>
          <w:color w:val="58585A"/>
          <w:sz w:val="19"/>
        </w:rPr>
        <w:t>Preston Adler, COO</w:t>
      </w:r>
    </w:p>
    <w:p>
      <w:pPr>
        <w:spacing w:before="0" w:after="100"/>
      </w:pPr>
      <w:r>
        <w:rPr>
          <w:rFonts w:ascii="Calibri" w:hAnsi="Calibri"/>
          <w:b w:val="0"/>
          <w:i w:val="0"/>
          <w:color w:val="333333"/>
          <w:sz w:val="21"/>
        </w:rPr>
        <w:t>I have reviewed the Authority Blueprint against the completeness, sequencing, and delivery standard requirements.</w:t>
      </w:r>
    </w:p>
    <w:p>
      <w:pPr>
        <w:spacing w:before="0" w:after="100"/>
      </w:pPr>
      <w:r>
        <w:rPr>
          <w:rFonts w:ascii="Calibri" w:hAnsi="Calibri"/>
          <w:b w:val="0"/>
          <w:i w:val="0"/>
          <w:color w:val="333333"/>
          <w:sz w:val="21"/>
        </w:rPr>
        <w:t>All 13 sections are present and complete. No section contains placeholder text, pending content markers, or deferred items. Every section contains specific data from Thomas Banks's client-context file — names, credential specifics, site URLs, practice areas, geographic targets, and avatar language are all accurate. The Table of Contents matches the actual document structure. Cross-references (between sections 4 and 8, between sections 6 and 10, between sections 9 and 12) are accurate.</w:t>
      </w:r>
    </w:p>
    <w:p>
      <w:pPr>
        <w:spacing w:before="0" w:after="100"/>
      </w:pPr>
      <w:r>
        <w:rPr>
          <w:rFonts w:ascii="Calibri" w:hAnsi="Calibri"/>
          <w:b w:val="0"/>
          <w:i w:val="0"/>
          <w:color w:val="333333"/>
          <w:sz w:val="21"/>
        </w:rPr>
        <w:t>The email sequences in Section 10 are fully written with complete subject lines, preview text, and email body copy for all 8 emails. The lead magnet in Section 11 is fully detailed with a 5-point outline and distribution strategy. The Week-by-Week action plan in Section 12 specifies responsible parties, deliverables, and timing with enough precision to serve as the engagement operations document.</w:t>
      </w:r>
    </w:p>
    <w:p>
      <w:pPr>
        <w:spacing w:before="0" w:after="100"/>
      </w:pPr>
      <w:r>
        <w:rPr>
          <w:rFonts w:ascii="Calibri" w:hAnsi="Calibri"/>
          <w:b w:val="0"/>
          <w:i w:val="0"/>
          <w:color w:val="333333"/>
          <w:sz w:val="21"/>
        </w:rPr>
        <w:t>The document has been reviewed against the floor standard established by the Anna Aleksander Law Authority Blueprint. This Blueprint meets or exceeds that standard in credential specificity, Belief-to-Buy mapping depth, Fast Cash campaign detail, and email sequence completeness.</w:t>
      </w:r>
    </w:p>
    <w:p>
      <w:pPr>
        <w:spacing w:before="0" w:after="100"/>
      </w:pPr>
      <w:r>
        <w:rPr>
          <w:rFonts w:ascii="Calibri" w:hAnsi="Calibri"/>
          <w:b w:val="0"/>
          <w:i w:val="0"/>
          <w:color w:val="333333"/>
          <w:sz w:val="21"/>
        </w:rPr>
        <w:t>This document is ready for client delivery.</w:t>
      </w:r>
    </w:p>
    <w:p>
      <w:pPr>
        <w:spacing w:before="160" w:after="40"/>
      </w:pPr>
      <w:r>
        <w:rPr>
          <w:rFonts w:ascii="Calibri" w:hAnsi="Calibri"/>
          <w:b/>
          <w:color w:val="1A2533"/>
          <w:sz w:val="21"/>
        </w:rPr>
        <w:t>Gate 4: APPROVED.</w:t>
      </w:r>
    </w:p>
    <w:p>
      <w:pPr>
        <w:spacing w:before="160" w:after="80"/>
      </w:pPr>
      <w:r>
        <w:rPr>
          <w:rFonts w:ascii="Calibri" w:hAnsi="Calibri"/>
          <w:i/>
          <w:color w:val="888888"/>
          <w:sz w:val="18"/>
        </w:rPr>
        <w:t>— Preston Adler, COO, Authority Systems Group™</w:t>
      </w:r>
    </w:p>
    <w:p>
      <w:pPr>
        <w:spacing w:before="40" w:after="80"/>
      </w:pPr>
      <w:r>
        <w:rPr>
          <w:rFonts w:ascii="Calibri" w:hAnsi="Calibri"/>
          <w:i/>
          <w:color w:val="58585A"/>
          <w:sz w:val="19"/>
        </w:rPr>
        <w:t>This document has been reviewed and approved through the Authority Systems Group™ four-gate quality assurance process. Strategic Alignment | Messaging Integrity | Revenue Logic | Delivery Standard.</w:t>
      </w:r>
    </w:p>
    <w:p>
      <w:pPr>
        <w:spacing w:before="40" w:after="80"/>
      </w:pPr>
      <w:r>
        <w:rPr>
          <w:rFonts w:ascii="Calibri" w:hAnsi="Calibri"/>
          <w:i/>
          <w:color w:val="58585A"/>
          <w:sz w:val="19"/>
        </w:rPr>
        <w:t>Prepared under the direction of Roger Bauer, Director — Authority Systems Group™.</w:t>
      </w:r>
    </w:p>
    <w:p>
      <w:pPr>
        <w:spacing w:before="160" w:after="40"/>
      </w:pPr>
      <w:r>
        <w:rPr>
          <w:rFonts w:ascii="Calibri" w:hAnsi="Calibri"/>
          <w:b/>
          <w:color w:val="1A2533"/>
          <w:sz w:val="21"/>
        </w:rPr>
        <w:t>Authority Systems Group™ — Confidential. Prepared exclusively for Thomas E. Banks II.</w:t>
      </w:r>
    </w:p>
    <w:p>
      <w:pPr>
        <w:spacing w:before="40" w:after="80"/>
      </w:pPr>
      <w:r>
        <w:rPr>
          <w:rFonts w:ascii="Calibri" w:hAnsi="Calibri"/>
          <w:i/>
          <w:color w:val="58585A"/>
          <w:sz w:val="19"/>
        </w:rPr>
        <w:t>400 West Market Street, Suite 200, Louisville, KY 40202 | KentuckianaDivorceLawyer.com | KentuckianaFamilyLawyer.com</w:t>
      </w:r>
    </w:p>
    <w:p>
      <w:pPr>
        <w:spacing w:before="40" w:after="80"/>
      </w:pPr>
      <w:r>
        <w:rPr>
          <w:rFonts w:ascii="Calibri" w:hAnsi="Calibri"/>
          <w:i/>
          <w:color w:val="58585A"/>
          <w:sz w:val="19"/>
        </w:rPr>
        <w:t>Document: thomas-banks-law_authority-blueprint_20260308.md</w:t>
      </w:r>
    </w:p>
    <w:p>
      <w:r>
        <w:br w:type="page"/>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one"/>
        <w:left w:val="none"/>
        <w:bottom w:val="none"/>
        <w:right w:val="none"/>
        <w:insideH w:val="none"/>
        <w:insideV w:val="none"/>
      </w:tblBorders>
    </w:tblPr>
    <w:tblGrid>
      <w:gridCol w:w="6480"/>
      <w:gridCol w:w="2880"/>
    </w:tblGrid>
    <w:tr>
      <w:tc>
        <w:tcPr>
          <w:tcW w:type="dxa" w:w="4680"/>
        </w:tcPr>
        <w:p>
          <w:pPr>
            <w:jc w:val="left"/>
          </w:pPr>
          <w:r>
            <w:rPr>
              <w:rFonts w:ascii="Calibri" w:hAnsi="Calibri"/>
              <w:color w:val="888888"/>
              <w:sz w:val="16"/>
            </w:rPr>
            <w:t>Authority Systems Group™  —  Confidential. Prepared exclusively for Thomas E. Banks II.</w:t>
          </w:r>
        </w:p>
      </w:tc>
      <w:tc>
        <w:tcPr>
          <w:tcW w:type="dxa" w:w="4680"/>
        </w:tcPr>
        <w:p>
          <w:pPr>
            <w:jc w:val="right"/>
          </w:pPr>
          <w:r>
            <w:rPr>
              <w:rFonts w:ascii="Calibri" w:hAnsi="Calibri"/>
              <w:color w:val="888888"/>
              <w:sz w:val="16"/>
            </w:rPr>
            <w:fldChar w:fldCharType="begin"/>
            <w:instrText>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one"/>
        <w:left w:val="none"/>
        <w:bottom w:val="none"/>
        <w:right w:val="none"/>
        <w:insideH w:val="none"/>
        <w:insideV w:val="none"/>
      </w:tblBorders>
    </w:tblPr>
    <w:tblGrid>
      <w:gridCol w:w="3600"/>
      <w:gridCol w:w="5760"/>
    </w:tblGrid>
    <w:tr>
      <w:tc>
        <w:tcPr>
          <w:tcW w:type="dxa" w:w="4680"/>
        </w:tcPr>
        <w:p>
          <w:pPr>
            <w:jc w:val="left"/>
          </w:pPr>
          <w:r>
            <w:drawing>
              <wp:inline xmlns:a="http://schemas.openxmlformats.org/drawingml/2006/main" xmlns:pic="http://schemas.openxmlformats.org/drawingml/2006/picture">
                <wp:extent cx="1645920" cy="791439"/>
                <wp:docPr id="1" name="Picture 1"/>
                <wp:cNvGraphicFramePr>
                  <a:graphicFrameLocks noChangeAspect="1"/>
                </wp:cNvGraphicFramePr>
                <a:graphic>
                  <a:graphicData uri="http://schemas.openxmlformats.org/drawingml/2006/picture">
                    <pic:pic>
                      <pic:nvPicPr>
                        <pic:cNvPr id="0" name="asgFull.png"/>
                        <pic:cNvPicPr/>
                      </pic:nvPicPr>
                      <pic:blipFill>
                        <a:blip r:embed="rId1"/>
                        <a:stretch>
                          <a:fillRect/>
                        </a:stretch>
                      </pic:blipFill>
                      <pic:spPr>
                        <a:xfrm>
                          <a:off x="0" y="0"/>
                          <a:ext cx="1645920" cy="791439"/>
                        </a:xfrm>
                        <a:prstGeom prst="rect"/>
                      </pic:spPr>
                    </pic:pic>
                  </a:graphicData>
                </a:graphic>
              </wp:inline>
            </w:drawing>
          </w:r>
        </w:p>
      </w:tc>
      <w:tc>
        <w:tcPr>
          <w:tcW w:type="dxa" w:w="4680"/>
        </w:tcPr>
        <w:p>
          <w:pPr>
            <w:jc w:val="right"/>
          </w:pPr>
          <w:r>
            <w:rPr>
              <w:rFonts w:ascii="Calibri" w:hAnsi="Calibri"/>
              <w:b/>
              <w:color w:val="888888"/>
              <w:sz w:val="15"/>
            </w:rPr>
            <w:t>AUTHORITY BLUEPRINT™  |  THOMAS E. BANKS II  |  MARCH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