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2017-2018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Ronnel Roi B. Austria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1.3 Correct attendance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enables the teacher to correct existing attendance record. Given the student and date as input, the current attendance record can be changed to either late, present, or absent.</w:t>
      </w:r>
    </w:p>
    <w:p w:rsidR="00000000" w:rsidDel="00000000" w:rsidP="00000000" w:rsidRDefault="00000000" w:rsidRPr="00000000">
      <w:pPr>
        <w:ind w:left="2165" w:right="0" w:hanging="216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must be an existing class with students enrolled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corrects the attendance record.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class from the list of classes. (View list of classes)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Teacher chooses student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the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an attendance record(particular meeting/date of class) to edit.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Teacher edits the attendance record.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System saves the updated attendance record.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cancels the action of correcting attendance.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class from the list of classes.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student from the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Teacher decides to cancel the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does not edit the attendance record. Record stays the same.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System does nothing.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7564" y="679925"/>
                          <a:ext cx="5118100" cy="6200592"/>
                          <a:chOff x="2787564" y="679925"/>
                          <a:chExt cx="5116821" cy="620010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87585" y="679930"/>
                            <a:ext cx="5116800" cy="62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Bitstream Vera Serif" w:cs="Bitstream Vera Serif" w:eastAsia="Bitstream Vera Serif" w:hAnsi="Bitstream Vera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53975" lIns="53975" rIns="53975" wrap="square" tIns="53975"/>
                      </wps:wsp>
                      <pic:pic>
                        <pic:nvPicPr>
                          <pic:cNvPr descr="1.3 Correct attendance record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787564" y="679925"/>
                            <a:ext cx="5116800" cy="4183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6200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attendance record is either changed or retained..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extends “1.0 Manage Attendance Records” and includes the use-case “1.4 View student attendance”. That is to say, whenever the teacher edits an attendance record of a student, the teacher needs to view the student’s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