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3. Estimates of Dependability and Generalizability by stimulus for individuals with aphasia and healthy controls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1600"/>
        <w:gridCol w:w="1368"/>
        <w:gridCol w:w="1771"/>
        <w:gridCol w:w="1368"/>
      </w:tblGrid>
      <w:tr>
        <w:trPr>
          <w:trHeight w:val="191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Dependability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Generalizability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0.74]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0.74]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[0.8, 0.93]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0.69]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0.89]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[0.4, 0.66]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[0.34, 0.58]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0.88]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[0.71, 0.89]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Dependability coefficients are analogous to single-rater agreement intraclass correlation coefficients and Generalizability coefficients are analogous to single-rater consistency intraclass correlation coefficients.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2026-02-26T11:58:30Z</dcterms:modified>
  <cp:category/>
</cp:coreProperties>
</file>