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Table X. Generalizability Coefficients by Stimuli and Group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1771"/>
        <w:gridCol w:w="1368"/>
      </w:tblGrid>
      <w:tr>
        <w:trPr>
          <w:trHeight w:val="191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Generalizability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0.74]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0.92]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[0.8, 0.93]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0.98]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0.69]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0.89]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[0.4, 0.66]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0.58]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[0.71, 0.89]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Generalizability coefficients are analogous to intraclass correlations for consistency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2026-02-26T11:58:30Z</dcterms:modified>
  <cp:category/>
</cp:coreProperties>
</file>