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Supplemental Table 1. Fixed effects of time for all stimuli and groups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1294"/>
        <w:gridCol w:w="1306"/>
        <w:gridCol w:w="695"/>
        <w:gridCol w:w="1441"/>
        <w:gridCol w:w="817"/>
      </w:tblGrid>
      <w:tr>
        <w:trPr>
          <w:trHeight w:val="19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[-0.26, 1.62]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[-0.52, 1.32]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3.06]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[ 0.66, 3.83]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[-1.28, 0.34]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[-0.41, 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[-0.45, 1.86]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1.38]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timet2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[-0.90, 0.48]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2026-02-01T17:24:17Z</dcterms:modified>
  <cp:category/>
</cp:coreProperties>
</file>