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9BE2" w14:textId="78853F02" w:rsidR="009F7B6A" w:rsidRPr="009F7B6A" w:rsidRDefault="009F7B6A">
      <w:pPr>
        <w:rPr>
          <w:rFonts w:ascii="Times New Roman" w:hAnsi="Times New Roman" w:cs="Times New Roman"/>
          <w:sz w:val="24"/>
          <w:szCs w:val="24"/>
        </w:rPr>
      </w:pPr>
      <w:r w:rsidRPr="009F7B6A">
        <w:rPr>
          <w:rFonts w:ascii="Times New Roman" w:hAnsi="Times New Roman" w:cs="Times New Roman"/>
          <w:sz w:val="24"/>
          <w:szCs w:val="24"/>
        </w:rPr>
        <w:t xml:space="preserve">Table </w:t>
      </w:r>
      <w:r w:rsidR="003E7B89">
        <w:rPr>
          <w:rFonts w:ascii="Times New Roman" w:hAnsi="Times New Roman" w:cs="Times New Roman"/>
          <w:sz w:val="24"/>
          <w:szCs w:val="24"/>
        </w:rPr>
        <w:t>3</w:t>
      </w:r>
      <w:r w:rsidRPr="009F7B6A">
        <w:rPr>
          <w:rFonts w:ascii="Times New Roman" w:hAnsi="Times New Roman" w:cs="Times New Roman"/>
          <w:sz w:val="24"/>
          <w:szCs w:val="24"/>
        </w:rPr>
        <w:t xml:space="preserve">. Summary of major strengths and weaknesses of each effect size measure </w:t>
      </w:r>
      <w:r w:rsidR="00B51661">
        <w:rPr>
          <w:rFonts w:ascii="Times New Roman" w:hAnsi="Times New Roman" w:cs="Times New Roman"/>
          <w:sz w:val="24"/>
          <w:szCs w:val="24"/>
        </w:rPr>
        <w:t>reviewed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860"/>
        <w:gridCol w:w="5490"/>
      </w:tblGrid>
      <w:tr w:rsidR="009F7B6A" w:rsidRPr="00B671DD" w14:paraId="6FDE2571" w14:textId="77777777" w:rsidTr="003E7B89">
        <w:tc>
          <w:tcPr>
            <w:tcW w:w="2425" w:type="dxa"/>
            <w:tcBorders>
              <w:right w:val="nil"/>
            </w:tcBorders>
            <w:vAlign w:val="center"/>
          </w:tcPr>
          <w:p w14:paraId="2D884381" w14:textId="57AE38B3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Effect size</w:t>
            </w:r>
            <w:r w:rsidR="0050417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measure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5F9273B8" w14:textId="77777777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Strengths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106E3B1B" w14:textId="77777777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Weaknesses</w:t>
            </w:r>
          </w:p>
        </w:tc>
      </w:tr>
      <w:tr w:rsidR="009F7B6A" w:rsidRPr="00B671DD" w14:paraId="73628C30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384F4774" w14:textId="4FCC8585" w:rsidR="009F7B6A" w:rsidRPr="00CB6F0A" w:rsidRDefault="00CB6F0A" w:rsidP="00CB6F0A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CB6F0A">
              <w:rPr>
                <w:rFonts w:ascii="Times New Roman" w:hAnsi="Times New Roman" w:cs="Times New Roman"/>
                <w:sz w:val="23"/>
                <w:szCs w:val="23"/>
              </w:rPr>
              <w:t>Within-case Standardized Mean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 w:rsidR="009F7B6A" w:rsidRPr="00B671DD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d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5474FA17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Historically, most common method in aphasia &amp; related disorders</w:t>
            </w:r>
          </w:p>
          <w:p w14:paraId="26AB331A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Easy to implement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10D431C2" w14:textId="58AD593A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Influenced by experimental design features (e.g.</w:t>
            </w:r>
            <w:proofErr w:type="gramStart"/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,  item</w:t>
            </w:r>
            <w:proofErr w:type="gramEnd"/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set-size, </w:t>
            </w:r>
            <w:r w:rsidR="00B671DD">
              <w:rPr>
                <w:rFonts w:ascii="Times New Roman" w:hAnsi="Times New Roman" w:cs="Times New Roman"/>
                <w:sz w:val="23"/>
                <w:szCs w:val="23"/>
              </w:rPr>
              <w:t>baseline/treatment length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14:paraId="378593A1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No clear solution to cases of low baseline variability</w:t>
            </w:r>
          </w:p>
          <w:p w14:paraId="1A7D4B27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Interpretation depends on benchmark study</w:t>
            </w:r>
          </w:p>
          <w:p w14:paraId="53B8CB78" w14:textId="13B215A4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Lacks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a 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measure of uncertainty</w:t>
            </w:r>
          </w:p>
        </w:tc>
      </w:tr>
      <w:tr w:rsidR="009F7B6A" w:rsidRPr="00B671DD" w14:paraId="7A984DF7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26A90639" w14:textId="30810E48" w:rsidR="009F7B6A" w:rsidRPr="00B671DD" w:rsidRDefault="00CB6F0A" w:rsidP="00BB1CB4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Proportion of Potential Maximal Gain </w:t>
            </w:r>
            <w:r w:rsidR="00BB1CB4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>
              <w:rPr>
                <w:rFonts w:ascii="Times New Roman" w:hAnsi="Times New Roman" w:cs="Times New Roman"/>
                <w:sz w:val="23"/>
                <w:szCs w:val="23"/>
              </w:rPr>
              <w:t>(PMG)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3D608B0E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Accommodates different item set sizes when comparing across individuals</w:t>
            </w:r>
          </w:p>
          <w:p w14:paraId="3BC36377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Easy to implement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51CB9BBB" w14:textId="435A6F92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Confounded by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>disorder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severity if baseline performance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>is associated with</w:t>
            </w:r>
            <w:r w:rsidR="00A24ED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>disorder severity</w:t>
            </w:r>
          </w:p>
          <w:p w14:paraId="0B222410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Can obscure differences in absolute change scores</w:t>
            </w:r>
          </w:p>
          <w:p w14:paraId="37CE2619" w14:textId="1287E301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Lacks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a 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measure of uncertainty</w:t>
            </w:r>
          </w:p>
        </w:tc>
      </w:tr>
      <w:tr w:rsidR="009F7B6A" w:rsidRPr="00B671DD" w14:paraId="4538B248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3FF40879" w14:textId="77777777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Tau-U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0FF5DAA8" w14:textId="4A7E0205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Non-parametric</w:t>
            </w:r>
            <w:r w:rsidR="00B671DD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and distribution free</w:t>
            </w:r>
          </w:p>
          <w:p w14:paraId="65D22A8F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Option to adjust for baseline trends</w:t>
            </w:r>
          </w:p>
          <w:p w14:paraId="4AB78D62" w14:textId="07242842" w:rsidR="009F7B6A" w:rsidRPr="00B671DD" w:rsidRDefault="00B671DD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Easy to implement</w:t>
            </w:r>
          </w:p>
          <w:p w14:paraId="7EB7D5D8" w14:textId="77777777" w:rsidR="009F7B6A" w:rsidRPr="00B671DD" w:rsidRDefault="009F7B6A" w:rsidP="0050417A">
            <w:pPr>
              <w:pStyle w:val="ListParagraph"/>
              <w:spacing w:after="0" w:line="276" w:lineRule="auto"/>
              <w:ind w:left="3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6D93B93A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Does not fully characterize the magnitude of change</w:t>
            </w:r>
          </w:p>
          <w:p w14:paraId="5735C65A" w14:textId="11291FD5" w:rsidR="009F7B6A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Influenced by ratio of baseline/treatment observations</w:t>
            </w:r>
          </w:p>
          <w:p w14:paraId="71B6ED28" w14:textId="52771258" w:rsidR="00B671DD" w:rsidRPr="00B671DD" w:rsidRDefault="001504D3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Lack of </w:t>
            </w:r>
            <w:r w:rsidR="008F148C">
              <w:rPr>
                <w:rFonts w:ascii="Times New Roman" w:hAnsi="Times New Roman" w:cs="Times New Roman"/>
                <w:sz w:val="23"/>
                <w:szCs w:val="23"/>
              </w:rPr>
              <w:t>easily interpretable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scaling; n</w:t>
            </w:r>
            <w:r w:rsidR="00B671DD">
              <w:rPr>
                <w:rFonts w:ascii="Times New Roman" w:hAnsi="Times New Roman" w:cs="Times New Roman"/>
                <w:sz w:val="23"/>
                <w:szCs w:val="23"/>
              </w:rPr>
              <w:t>ot bound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ed</w:t>
            </w:r>
            <w:r w:rsidR="00B671DD">
              <w:rPr>
                <w:rFonts w:ascii="Times New Roman" w:hAnsi="Times New Roman" w:cs="Times New Roman"/>
                <w:sz w:val="23"/>
                <w:szCs w:val="23"/>
              </w:rPr>
              <w:t xml:space="preserve"> between [-1, 1]</w:t>
            </w:r>
          </w:p>
          <w:p w14:paraId="45075445" w14:textId="1EA1E54B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Tau-U</w:t>
            </w:r>
            <w:r w:rsidRPr="00B671DD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A VS. B – TREND-A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lacks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a 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measure of uncertainty</w:t>
            </w:r>
          </w:p>
        </w:tc>
      </w:tr>
      <w:tr w:rsidR="009F7B6A" w:rsidRPr="00B671DD" w14:paraId="51FA1EDD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2B1C5E7B" w14:textId="397A301D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Generalized linear mixed-effects models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 (GLMM)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7A6164DB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Able to adjust for baseline trends</w:t>
            </w:r>
          </w:p>
          <w:p w14:paraId="05670D0A" w14:textId="5D69D2E1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Effect size available in multiple units of measure (e.g., logits, odds-ratio, percent, items gained)</w:t>
            </w:r>
            <w:r w:rsidR="00C72CF2">
              <w:rPr>
                <w:rFonts w:ascii="Times New Roman" w:hAnsi="Times New Roman" w:cs="Times New Roman"/>
                <w:sz w:val="23"/>
                <w:szCs w:val="23"/>
              </w:rPr>
              <w:t>, each with clear interpretation</w:t>
            </w:r>
          </w:p>
          <w:p w14:paraId="5D6BE643" w14:textId="37A6A6B0" w:rsidR="009F7B6A" w:rsidRPr="00B671DD" w:rsidRDefault="00B671DD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Pools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item-level and/or participant-level data to produce more generalizable estimates</w:t>
            </w:r>
          </w:p>
          <w:p w14:paraId="0F6D89EF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Includes confidence/credible interval </w:t>
            </w:r>
          </w:p>
          <w:p w14:paraId="78515762" w14:textId="4703842F" w:rsidR="009F7B6A" w:rsidRPr="00B671DD" w:rsidRDefault="00B671DD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an estimate group and individual effect sizes from a single model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(Bayesian)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63924854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Complex to implement</w:t>
            </w:r>
          </w:p>
          <w:p w14:paraId="7DEDB6EC" w14:textId="0E68F41C" w:rsidR="009F7B6A" w:rsidRPr="00B671DD" w:rsidRDefault="00B51661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>odel convergence</w:t>
            </w:r>
            <w:r w:rsidR="00B671DD">
              <w:rPr>
                <w:rFonts w:ascii="Times New Roman" w:hAnsi="Times New Roman" w:cs="Times New Roman"/>
                <w:sz w:val="23"/>
                <w:szCs w:val="23"/>
              </w:rPr>
              <w:t xml:space="preserve"> challenges are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common</w:t>
            </w:r>
            <w:r w:rsidR="001504D3">
              <w:rPr>
                <w:rFonts w:ascii="Times New Roman" w:hAnsi="Times New Roman" w:cs="Times New Roman"/>
                <w:sz w:val="23"/>
                <w:szCs w:val="23"/>
              </w:rPr>
              <w:t xml:space="preserve"> with frequentist estimation</w:t>
            </w:r>
          </w:p>
          <w:p w14:paraId="238F77F8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Confidence/Credible interval width dependent on sample size</w:t>
            </w:r>
          </w:p>
        </w:tc>
      </w:tr>
    </w:tbl>
    <w:p w14:paraId="6AF29DD2" w14:textId="43E63354" w:rsidR="00B51661" w:rsidRDefault="00B51661" w:rsidP="009F7B6A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B51661" w:rsidSect="00B161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748"/>
    <w:multiLevelType w:val="hybridMultilevel"/>
    <w:tmpl w:val="CBD08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A364D"/>
    <w:multiLevelType w:val="hybridMultilevel"/>
    <w:tmpl w:val="DBD29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2D4DD9"/>
    <w:multiLevelType w:val="hybridMultilevel"/>
    <w:tmpl w:val="A7D07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C216C1"/>
    <w:multiLevelType w:val="hybridMultilevel"/>
    <w:tmpl w:val="33BAD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607469"/>
    <w:multiLevelType w:val="hybridMultilevel"/>
    <w:tmpl w:val="BEF2D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D2CD0"/>
    <w:multiLevelType w:val="hybridMultilevel"/>
    <w:tmpl w:val="3F8A0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1E5C7C"/>
    <w:multiLevelType w:val="hybridMultilevel"/>
    <w:tmpl w:val="B2B0ACDA"/>
    <w:lvl w:ilvl="0" w:tplc="740C4B0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2914426">
    <w:abstractNumId w:val="5"/>
  </w:num>
  <w:num w:numId="2" w16cid:durableId="1471824782">
    <w:abstractNumId w:val="2"/>
  </w:num>
  <w:num w:numId="3" w16cid:durableId="1349477825">
    <w:abstractNumId w:val="4"/>
  </w:num>
  <w:num w:numId="4" w16cid:durableId="1087458375">
    <w:abstractNumId w:val="0"/>
  </w:num>
  <w:num w:numId="5" w16cid:durableId="712189808">
    <w:abstractNumId w:val="1"/>
  </w:num>
  <w:num w:numId="6" w16cid:durableId="547424732">
    <w:abstractNumId w:val="3"/>
  </w:num>
  <w:num w:numId="7" w16cid:durableId="25832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B"/>
    <w:rsid w:val="00017E3E"/>
    <w:rsid w:val="001504D3"/>
    <w:rsid w:val="001F749B"/>
    <w:rsid w:val="002D5474"/>
    <w:rsid w:val="003E7B89"/>
    <w:rsid w:val="0050417A"/>
    <w:rsid w:val="008F148C"/>
    <w:rsid w:val="009F7B6A"/>
    <w:rsid w:val="00A24ED5"/>
    <w:rsid w:val="00A83DE9"/>
    <w:rsid w:val="00B1616B"/>
    <w:rsid w:val="00B51661"/>
    <w:rsid w:val="00B671DD"/>
    <w:rsid w:val="00BB1CB4"/>
    <w:rsid w:val="00C53887"/>
    <w:rsid w:val="00C72CF2"/>
    <w:rsid w:val="00CB6F0A"/>
    <w:rsid w:val="00F6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FDC8"/>
  <w15:chartTrackingRefBased/>
  <w15:docId w15:val="{11B40ADC-1D78-8A48-B106-8CCA1CC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16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styleId="ListParagraph">
    <w:name w:val="List Paragraph"/>
    <w:basedOn w:val="Normal"/>
    <w:uiPriority w:val="34"/>
    <w:qFormat/>
    <w:rsid w:val="00B1616B"/>
    <w:pPr>
      <w:ind w:left="720"/>
      <w:contextualSpacing/>
    </w:pPr>
  </w:style>
  <w:style w:type="table" w:styleId="TableGrid">
    <w:name w:val="Table Grid"/>
    <w:basedOn w:val="TableNormal"/>
    <w:uiPriority w:val="39"/>
    <w:rsid w:val="00B1616B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B6A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B6A"/>
    <w:rPr>
      <w:rFonts w:asciiTheme="minorHAnsi" w:hAnsiTheme="minorHAnsi" w:cstheme="minorBid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388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2</cp:revision>
  <dcterms:created xsi:type="dcterms:W3CDTF">2022-08-16T14:35:00Z</dcterms:created>
  <dcterms:modified xsi:type="dcterms:W3CDTF">2022-08-16T14:35:00Z</dcterms:modified>
</cp:coreProperties>
</file>