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DF2C" w14:textId="605A6F39" w:rsidR="00017E3E" w:rsidRPr="0070263D" w:rsidRDefault="0070263D" w:rsidP="00E4471D">
      <w:pPr>
        <w:pStyle w:val="BodyText"/>
        <w:rPr>
          <w:rFonts w:cs="Times New Roman"/>
        </w:rPr>
      </w:pPr>
      <w:r>
        <w:rPr>
          <w:rFonts w:cs="Times New Roman"/>
        </w:rPr>
        <w:t xml:space="preserve">Table 3. Summary statistics of effect size measures for all participants, conditions, and item types from </w:t>
      </w:r>
      <w:proofErr w:type="spellStart"/>
      <w:r>
        <w:rPr>
          <w:rFonts w:cs="Times New Roman"/>
        </w:rPr>
        <w:t>Wambaugh</w:t>
      </w:r>
      <w:proofErr w:type="spellEnd"/>
      <w:r>
        <w:rPr>
          <w:rFonts w:cs="Times New Roman"/>
        </w:rPr>
        <w:t xml:space="preserve"> et al., (2017), arranged by treated and generalization item types.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5"/>
        <w:gridCol w:w="2025"/>
        <w:gridCol w:w="2606"/>
      </w:tblGrid>
      <w:tr w:rsidR="00662F3D" w:rsidRPr="0070263D" w14:paraId="4D331BAA" w14:textId="77777777">
        <w:trPr>
          <w:cantSplit/>
          <w:tblHeader/>
          <w:jc w:val="center"/>
        </w:trPr>
        <w:tc>
          <w:tcPr>
            <w:tcW w:w="18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6311" w14:textId="77777777" w:rsidR="00662F3D" w:rsidRPr="0070263D" w:rsidRDefault="00A21CCD">
            <w:pPr>
              <w:keepNext/>
              <w:spacing w:before="40" w:after="40"/>
              <w:ind w:left="100" w:right="100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Characteristic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52F9" w14:textId="4584F40C" w:rsidR="00662F3D" w:rsidRPr="0070263D" w:rsidRDefault="00A21CCD">
            <w:pPr>
              <w:keepNext/>
              <w:spacing w:before="40" w:after="4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Treated, N = 40</w:t>
            </w:r>
          </w:p>
        </w:tc>
        <w:tc>
          <w:tcPr>
            <w:tcW w:w="26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0575" w14:textId="18933BE4" w:rsidR="00662F3D" w:rsidRPr="0070263D" w:rsidRDefault="00A21CCD">
            <w:pPr>
              <w:keepNext/>
              <w:spacing w:before="40" w:after="4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Generalization, N = 40</w:t>
            </w:r>
          </w:p>
        </w:tc>
      </w:tr>
      <w:tr w:rsidR="00662F3D" w:rsidRPr="0070263D" w14:paraId="693FC8F0" w14:textId="77777777">
        <w:trPr>
          <w:cantSplit/>
          <w:jc w:val="center"/>
        </w:trPr>
        <w:tc>
          <w:tcPr>
            <w:tcW w:w="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93182" w14:textId="36DDABD3" w:rsidR="00662F3D" w:rsidRPr="0070263D" w:rsidRDefault="0070263D">
            <w:pPr>
              <w:keepNext/>
              <w:spacing w:before="100" w:after="100"/>
              <w:ind w:left="100" w:right="100"/>
              <w:rPr>
                <w:rFonts w:cs="Times New Roman"/>
                <w:vertAlign w:val="subscript"/>
              </w:rPr>
            </w:pPr>
            <w:proofErr w:type="spellStart"/>
            <w:r>
              <w:rPr>
                <w:rFonts w:eastAsia="Helvetica" w:cs="Times New Roman"/>
                <w:i/>
                <w:iCs/>
                <w:color w:val="000000"/>
              </w:rPr>
              <w:t>d</w:t>
            </w:r>
            <w:r>
              <w:rPr>
                <w:rFonts w:eastAsia="Helvetica" w:cs="Times New Roman"/>
                <w:color w:val="000000"/>
                <w:vertAlign w:val="subscript"/>
              </w:rPr>
              <w:t>BR</w:t>
            </w:r>
            <w:proofErr w:type="spellEnd"/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D1F85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13 (2, 36)</w:t>
            </w:r>
          </w:p>
        </w:tc>
        <w:tc>
          <w:tcPr>
            <w:tcW w:w="2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EFC3F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5 (0, 19)</w:t>
            </w:r>
          </w:p>
        </w:tc>
      </w:tr>
      <w:tr w:rsidR="00662F3D" w:rsidRPr="0070263D" w14:paraId="1D7CA6A8" w14:textId="77777777">
        <w:trPr>
          <w:cantSplit/>
          <w:jc w:val="center"/>
        </w:trPr>
        <w:tc>
          <w:tcPr>
            <w:tcW w:w="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C870A" w14:textId="77777777" w:rsidR="00662F3D" w:rsidRPr="0070263D" w:rsidRDefault="00A21CCD">
            <w:pPr>
              <w:keepNext/>
              <w:spacing w:before="100" w:after="100"/>
              <w:ind w:left="300" w:right="100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N/A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55B08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17ED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4</w:t>
            </w:r>
          </w:p>
        </w:tc>
      </w:tr>
      <w:tr w:rsidR="00662F3D" w:rsidRPr="0070263D" w14:paraId="2642949A" w14:textId="77777777">
        <w:trPr>
          <w:cantSplit/>
          <w:jc w:val="center"/>
        </w:trPr>
        <w:tc>
          <w:tcPr>
            <w:tcW w:w="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406A" w14:textId="77777777" w:rsidR="00662F3D" w:rsidRPr="0070263D" w:rsidRDefault="00A21CCD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PMG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03FE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0.77 (0.11, 1.00)</w:t>
            </w:r>
          </w:p>
        </w:tc>
        <w:tc>
          <w:tcPr>
            <w:tcW w:w="2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BE6D0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0.44 (-0.05, 1.00)</w:t>
            </w:r>
          </w:p>
        </w:tc>
      </w:tr>
      <w:tr w:rsidR="00662F3D" w:rsidRPr="0070263D" w14:paraId="586A8CB1" w14:textId="77777777">
        <w:trPr>
          <w:cantSplit/>
          <w:jc w:val="center"/>
        </w:trPr>
        <w:tc>
          <w:tcPr>
            <w:tcW w:w="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A605" w14:textId="71650F35" w:rsidR="00662F3D" w:rsidRPr="0070263D" w:rsidRDefault="00A21CCD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Tau</w:t>
            </w:r>
            <w:r w:rsidR="0070263D">
              <w:rPr>
                <w:rFonts w:eastAsia="Helvetica" w:cs="Times New Roman"/>
                <w:color w:val="000000"/>
              </w:rPr>
              <w:t>-U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CF1FE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0.89 (0.24, 1.00)</w:t>
            </w:r>
          </w:p>
        </w:tc>
        <w:tc>
          <w:tcPr>
            <w:tcW w:w="2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97DC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0.72 (-0.10, 1.00)</w:t>
            </w:r>
          </w:p>
        </w:tc>
      </w:tr>
      <w:tr w:rsidR="00662F3D" w:rsidRPr="0070263D" w14:paraId="67E5BCF7" w14:textId="77777777">
        <w:trPr>
          <w:cantSplit/>
          <w:jc w:val="center"/>
        </w:trPr>
        <w:tc>
          <w:tcPr>
            <w:tcW w:w="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43DDE" w14:textId="6036F639" w:rsidR="00662F3D" w:rsidRPr="0070263D" w:rsidRDefault="0070263D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proofErr w:type="spellStart"/>
            <w:r>
              <w:rPr>
                <w:rFonts w:eastAsia="Helvetica" w:cs="Times New Roman"/>
                <w:color w:val="000000"/>
              </w:rPr>
              <w:t>GLMM</w:t>
            </w:r>
            <w:r w:rsidR="00A21CCD" w:rsidRPr="0070263D">
              <w:rPr>
                <w:rFonts w:eastAsia="Helvetica" w:cs="Times New Roman"/>
                <w:color w:val="000000"/>
                <w:vertAlign w:val="subscript"/>
              </w:rPr>
              <w:t>logit</w:t>
            </w:r>
            <w:proofErr w:type="spellEnd"/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61FC6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5.21 (1.44, 8.28)</w:t>
            </w:r>
          </w:p>
        </w:tc>
        <w:tc>
          <w:tcPr>
            <w:tcW w:w="2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DC9F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2.91 (0.01, 8.66)</w:t>
            </w:r>
          </w:p>
        </w:tc>
      </w:tr>
      <w:tr w:rsidR="00662F3D" w:rsidRPr="0070263D" w14:paraId="7FB2D188" w14:textId="77777777">
        <w:trPr>
          <w:cantSplit/>
          <w:jc w:val="center"/>
        </w:trPr>
        <w:tc>
          <w:tcPr>
            <w:tcW w:w="18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3DA6" w14:textId="1D7862E2" w:rsidR="00662F3D" w:rsidRPr="0070263D" w:rsidRDefault="0070263D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proofErr w:type="spellStart"/>
            <w:r>
              <w:rPr>
                <w:rFonts w:eastAsia="Helvetica" w:cs="Times New Roman"/>
                <w:color w:val="000000"/>
              </w:rPr>
              <w:t>GLMM</w:t>
            </w:r>
            <w:r w:rsidR="00A21CCD" w:rsidRPr="0070263D">
              <w:rPr>
                <w:rFonts w:eastAsia="Helvetica" w:cs="Times New Roman"/>
                <w:color w:val="000000"/>
                <w:vertAlign w:val="subscript"/>
              </w:rPr>
              <w:t>percent</w:t>
            </w:r>
            <w:proofErr w:type="spellEnd"/>
          </w:p>
        </w:tc>
        <w:tc>
          <w:tcPr>
            <w:tcW w:w="20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F50D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0.73 (0.09, 0.94)</w:t>
            </w:r>
          </w:p>
        </w:tc>
        <w:tc>
          <w:tcPr>
            <w:tcW w:w="26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1D55B" w14:textId="77777777" w:rsidR="00662F3D" w:rsidRPr="0070263D" w:rsidRDefault="00A21CCD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70263D">
              <w:rPr>
                <w:rFonts w:eastAsia="Helvetica" w:cs="Times New Roman"/>
                <w:color w:val="000000"/>
              </w:rPr>
              <w:t>0.40 (0.00, 0.95)</w:t>
            </w:r>
          </w:p>
        </w:tc>
      </w:tr>
      <w:tr w:rsidR="00662F3D" w:rsidRPr="0070263D" w14:paraId="204F5494" w14:textId="77777777">
        <w:trPr>
          <w:cantSplit/>
          <w:jc w:val="center"/>
        </w:trPr>
        <w:tc>
          <w:tcPr>
            <w:tcW w:w="643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4792" w14:textId="636D50E6" w:rsidR="00662F3D" w:rsidRPr="0070263D" w:rsidRDefault="00662F3D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</w:p>
        </w:tc>
      </w:tr>
    </w:tbl>
    <w:p w14:paraId="1E6C6F82" w14:textId="65B8D8EA" w:rsidR="00A21CCD" w:rsidRPr="0070263D" w:rsidRDefault="0070263D">
      <w:pPr>
        <w:rPr>
          <w:rFonts w:cs="Times New Roman"/>
        </w:rPr>
      </w:pPr>
      <w:r>
        <w:rPr>
          <w:rFonts w:cs="Times New Roman"/>
          <w:i/>
          <w:iCs/>
        </w:rPr>
        <w:t xml:space="preserve">Note: </w:t>
      </w:r>
      <w:proofErr w:type="spellStart"/>
      <w:r>
        <w:rPr>
          <w:rFonts w:cs="Times New Roman"/>
          <w:i/>
          <w:iCs/>
        </w:rPr>
        <w:t>d</w:t>
      </w:r>
      <w:r>
        <w:rPr>
          <w:rFonts w:cs="Times New Roman"/>
          <w:vertAlign w:val="subscript"/>
        </w:rPr>
        <w:t>BR</w:t>
      </w:r>
      <w:proofErr w:type="spellEnd"/>
      <w:r>
        <w:rPr>
          <w:rFonts w:cs="Times New Roman"/>
        </w:rPr>
        <w:t xml:space="preserve">: within-case standardized mean difference; PMG: proportion of potential maximal gain. GLMM: Generalized linear mixed-effects model in logits and in percentage point gain. Statistics report the mean effect size and range. </w:t>
      </w:r>
    </w:p>
    <w:sectPr w:rsidR="00A21CCD" w:rsidRPr="0070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662F3D"/>
    <w:rsid w:val="0070263D"/>
    <w:rsid w:val="00A21CCD"/>
    <w:rsid w:val="00CD6752"/>
    <w:rsid w:val="00E10EB1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F7B94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2</cp:revision>
  <dcterms:created xsi:type="dcterms:W3CDTF">2022-06-06T19:02:00Z</dcterms:created>
  <dcterms:modified xsi:type="dcterms:W3CDTF">2022-06-06T19:02:00Z</dcterms:modified>
</cp:coreProperties>
</file>