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Guidelines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20 words</w:t>
      </w:r>
    </w:p>
    <w:p w:rsidR="00000000" w:rsidDel="00000000" w:rsidP="00000000" w:rsidRDefault="00000000" w:rsidRPr="00000000" w14:paraId="00000004">
      <w:pPr>
        <w:rPr/>
      </w:pPr>
      <w:r w:rsidDel="00000000" w:rsidR="00000000" w:rsidRPr="00000000">
        <w:rPr>
          <w:rtl w:val="0"/>
        </w:rPr>
        <w:t xml:space="preserve">ABSTRACT 400 words</w:t>
      </w:r>
    </w:p>
    <w:p w:rsidR="00000000" w:rsidDel="00000000" w:rsidP="00000000" w:rsidRDefault="00000000" w:rsidRPr="00000000" w14:paraId="00000005">
      <w:pPr>
        <w:rPr/>
      </w:pPr>
      <w:r w:rsidDel="00000000" w:rsidR="00000000" w:rsidRPr="00000000">
        <w:rPr>
          <w:rtl w:val="0"/>
        </w:rPr>
        <w:t xml:space="preserve">KEYWORDS 10 words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deadline for abstract submission is May 10th, 2021.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‘one presentation’ rule will be applied to all delegates at ATBC-2020. That is, a presenting author in one session cannot present in another session (lightning talk, symposium, or open format session). However, there is no limit in the number of times a delegate can be a co-author in other abstracts.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word limit in the body of the abstract is 400.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abstract must be prepared in English and contain the following sections: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   Introduction / Background / Justification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   Objective(s)/Hypothesis(es)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   Methods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   Results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   Implications/Conclusions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 are strongly encouraged to present recent research (e.g., work that has not been published or presented at previous ATBC meetings).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Abstracts can cover any aspect of tropical biology or conservation. Presentations focused on the meeting theme “Lessons, advances, and opportunities in the face of global change" are especially encouraged.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primary criteria for acceptance include scientific merit, probable interest by meeting attendees, and/or a clearly written and compelling abstract.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Please note that limits of space and time may make it impossible to accommodate all requests for live presentations, in which case we may ask you to upload your work to be viewed by participants during asynchronous activities.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Scientific Committee reviews the abstracts and has final authority for acceptance and scheduling.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