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04E3B">
      <w:pPr>
        <w:spacing w:before="2400" w:after="0"/>
      </w:pPr>
    </w:p>
    <w:p w14:paraId="7B9B2367">
      <w:pPr>
        <w:spacing w:after="80"/>
        <w:jc w:val="center"/>
        <w:rPr>
          <w:rFonts w:hint="default"/>
          <w:lang w:val="pt-BR"/>
        </w:rPr>
      </w:pPr>
      <w:r>
        <w:rPr>
          <w:rFonts w:hint="default" w:cs="Arial"/>
          <w:b/>
          <w:bCs/>
          <w:color w:val="0A1628"/>
          <w:sz w:val="72"/>
          <w:szCs w:val="72"/>
          <w:lang w:val="pt-BR"/>
        </w:rPr>
        <w:t>HEAVEN C</w:t>
      </w:r>
      <w:r>
        <w:rPr>
          <w:rFonts w:ascii="Arial" w:hAnsi="Arial" w:eastAsia="Arial" w:cs="Arial"/>
          <w:b/>
          <w:bCs/>
          <w:color w:val="0A1628"/>
          <w:sz w:val="72"/>
          <w:szCs w:val="72"/>
        </w:rPr>
        <w:t>O</w:t>
      </w:r>
      <w:r>
        <w:rPr>
          <w:rFonts w:hint="default" w:cs="Arial"/>
          <w:b/>
          <w:bCs/>
          <w:color w:val="0A1628"/>
          <w:sz w:val="72"/>
          <w:szCs w:val="72"/>
          <w:lang w:val="pt-BR"/>
        </w:rPr>
        <w:t>I</w:t>
      </w:r>
      <w:r>
        <w:rPr>
          <w:rFonts w:ascii="Arial" w:hAnsi="Arial" w:eastAsia="Arial" w:cs="Arial"/>
          <w:b/>
          <w:bCs/>
          <w:color w:val="0A1628"/>
          <w:sz w:val="72"/>
          <w:szCs w:val="72"/>
        </w:rPr>
        <w:t>N</w:t>
      </w:r>
      <w:r>
        <w:rPr>
          <w:rFonts w:hint="default" w:cs="Arial"/>
          <w:b/>
          <w:bCs/>
          <w:color w:val="0A1628"/>
          <w:sz w:val="72"/>
          <w:szCs w:val="72"/>
          <w:lang w:val="pt-BR"/>
        </w:rPr>
        <w:t>T</w:t>
      </w:r>
      <w:bookmarkStart w:id="0" w:name="_GoBack"/>
      <w:bookmarkEnd w:id="0"/>
    </w:p>
    <w:p w14:paraId="69E488FE">
      <w:pPr>
        <w:spacing w:after="40"/>
        <w:jc w:val="center"/>
      </w:pPr>
      <w:r>
        <w:rPr>
          <w:rFonts w:ascii="Arial" w:hAnsi="Arial" w:eastAsia="Arial" w:cs="Arial"/>
          <w:b/>
          <w:bCs/>
          <w:color w:val="0891B2"/>
          <w:sz w:val="28"/>
          <w:szCs w:val="28"/>
        </w:rPr>
        <w:t>QUANTITATIVE TRADING SYSTEM</w:t>
      </w:r>
    </w:p>
    <w:p w14:paraId="00D9D04B">
      <w:pPr>
        <w:pBdr>
          <w:bottom w:val="single" w:color="22D3EE" w:sz="4" w:space="8"/>
        </w:pBdr>
        <w:spacing w:after="400"/>
        <w:jc w:val="center"/>
      </w:pPr>
    </w:p>
    <w:p w14:paraId="4078D4C2">
      <w:pPr>
        <w:spacing w:before="200" w:after="0"/>
      </w:pPr>
    </w:p>
    <w:p w14:paraId="0893B000">
      <w:pPr>
        <w:spacing w:after="120"/>
        <w:jc w:val="center"/>
      </w:pPr>
      <w:r>
        <w:rPr>
          <w:rFonts w:ascii="Arial" w:hAnsi="Arial" w:eastAsia="Arial" w:cs="Arial"/>
          <w:color w:val="1E293B"/>
          <w:sz w:val="36"/>
          <w:szCs w:val="36"/>
        </w:rPr>
        <w:t>Documentación Técnica Exhaustiva</w:t>
      </w:r>
    </w:p>
    <w:p w14:paraId="7FF57F12">
      <w:pPr>
        <w:spacing w:after="60"/>
        <w:jc w:val="center"/>
      </w:pPr>
      <w:r>
        <w:rPr>
          <w:rFonts w:ascii="Arial" w:hAnsi="Arial" w:eastAsia="Arial" w:cs="Arial"/>
          <w:color w:val="475569"/>
          <w:sz w:val="22"/>
          <w:szCs w:val="22"/>
        </w:rPr>
        <w:t>Análisis de Arquitectura, Diseño y Estrategia de Implementación</w:t>
      </w:r>
    </w:p>
    <w:p w14:paraId="7CBF4842">
      <w:pPr>
        <w:spacing w:before="600" w:after="0"/>
      </w:pPr>
    </w:p>
    <w:p w14:paraId="0A9ADAAF">
      <w:pPr>
        <w:spacing w:after="40"/>
        <w:jc w:val="center"/>
      </w:pPr>
      <w:r>
        <w:rPr>
          <w:rFonts w:ascii="Arial" w:hAnsi="Arial" w:eastAsia="Arial" w:cs="Arial"/>
          <w:color w:val="94A3B8"/>
          <w:sz w:val="20"/>
          <w:szCs w:val="20"/>
        </w:rPr>
        <w:t xml:space="preserve">Versión: </w:t>
      </w:r>
      <w:r>
        <w:rPr>
          <w:rFonts w:ascii="Arial" w:hAnsi="Arial" w:eastAsia="Arial" w:cs="Arial"/>
          <w:b/>
          <w:bCs/>
          <w:color w:val="22D3EE"/>
          <w:sz w:val="20"/>
          <w:szCs w:val="20"/>
        </w:rPr>
        <w:t>1.0.0</w:t>
      </w:r>
    </w:p>
    <w:p w14:paraId="1B6AD3D4">
      <w:pPr>
        <w:spacing w:after="40"/>
        <w:jc w:val="center"/>
      </w:pPr>
      <w:r>
        <w:rPr>
          <w:rFonts w:ascii="Arial" w:hAnsi="Arial" w:eastAsia="Arial" w:cs="Arial"/>
          <w:color w:val="94A3B8"/>
          <w:sz w:val="20"/>
          <w:szCs w:val="20"/>
        </w:rPr>
        <w:t xml:space="preserve">Clasificación: </w:t>
      </w:r>
      <w:r>
        <w:rPr>
          <w:rFonts w:ascii="Arial" w:hAnsi="Arial" w:eastAsia="Arial" w:cs="Arial"/>
          <w:b/>
          <w:bCs/>
          <w:color w:val="EF4444"/>
          <w:sz w:val="20"/>
          <w:szCs w:val="20"/>
        </w:rPr>
        <w:t>Confidencial</w:t>
      </w:r>
    </w:p>
    <w:p w14:paraId="61CF19B3">
      <w:pPr>
        <w:jc w:val="center"/>
      </w:pPr>
      <w:r>
        <w:rPr>
          <w:rFonts w:ascii="Arial" w:hAnsi="Arial" w:eastAsia="Arial" w:cs="Arial"/>
          <w:color w:val="94A3B8"/>
          <w:sz w:val="20"/>
          <w:szCs w:val="20"/>
        </w:rPr>
        <w:t>Fecha: Abril 2026</w:t>
      </w:r>
    </w:p>
    <w:p w14:paraId="25E59A25">
      <w:pPr>
        <w:sectPr>
          <w:pgSz w:w="12240" w:h="15840"/>
          <w:pgMar w:top="1440" w:right="1260" w:bottom="1440" w:left="1260" w:header="708" w:footer="708" w:gutter="0"/>
          <w:cols w:space="720" w:num="1"/>
          <w:docGrid w:linePitch="360" w:charSpace="0"/>
        </w:sectPr>
      </w:pPr>
    </w:p>
    <w:p w14:paraId="4A0BB36F">
      <w:pPr>
        <w:spacing w:before="200" w:after="30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ÍNDICE</w:t>
      </w:r>
    </w:p>
    <w:sdt>
      <w:sdtPr>
        <w:alias w:val="Table of Contents"/>
        <w:id w:val="935263762"/>
      </w:sdtPr>
      <w:sdtContent>
        <w:p w14:paraId="7328232A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42A529C">
          <w:r>
            <w:fldChar w:fldCharType="end"/>
          </w:r>
        </w:p>
      </w:sdtContent>
    </w:sdt>
    <w:p w14:paraId="68F40C0A">
      <w:pPr>
        <w:sectPr>
          <w:pgSz w:w="12240" w:h="15840"/>
          <w:pgMar w:top="1440" w:right="1260" w:bottom="1440" w:left="1260" w:header="708" w:footer="708" w:gutter="0"/>
          <w:cols w:space="720" w:num="1"/>
          <w:docGrid w:linePitch="360" w:charSpace="0"/>
        </w:sectPr>
      </w:pPr>
    </w:p>
    <w:p w14:paraId="06AC4E0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1. Análisis Profundo del Producto</w:t>
      </w:r>
    </w:p>
    <w:p w14:paraId="1EFBD6BE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1.1 Propósito Central</w:t>
      </w:r>
    </w:p>
    <w:p w14:paraId="11054994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ORION ONE es un sistema cuantitativo profesional de análisis de mercados financieros diseñado para democratizar el acceso a herramientas de nivel institucional. A diferencia de los modelos de lenguaje generativo (ChatGPT, Gemini, Claude) que generan texto convincente pero carecen de acceso a datos financieros estructurados en tiempo real, ORION ONE procesa exclusivamente datos cuantitativos reales: volatilidad implícita, flujo de órdenes institucionales, indicadores macroeconómicos y osciladores propietarios.</w:t>
      </w:r>
    </w:p>
    <w:p w14:paraId="0B829A0C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El sistema se fundamenta en cuatro pilares interconectados que proporcionan una cadena completa desde el análisis hasta la ejecución de estrategias con esperanza matemática positiva.</w:t>
      </w:r>
    </w:p>
    <w:p w14:paraId="35E84195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1.2 Problema que Resuelve</w:t>
      </w:r>
    </w:p>
    <w:p w14:paraId="71B9BAA3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El ecosistema de trading retail enfrenta una crisis silenciosa: la adopción masiva de IAs generativas como herramientas de análisis financiero. El documento fuente documenta explícitamente este problema:</w:t>
      </w:r>
    </w:p>
    <w:p w14:paraId="58856EFB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Ausencia de datos reales: </w:t>
      </w:r>
      <w:r>
        <w:rPr>
          <w:rFonts w:ascii="Arial" w:hAnsi="Arial" w:eastAsia="Arial" w:cs="Arial"/>
          <w:color w:val="1E293B"/>
          <w:sz w:val="21"/>
          <w:szCs w:val="21"/>
        </w:rPr>
        <w:t>Los LLMs no conocen el precio actual, la volatilidad implícita semanal ni el flujo de órdenes institucionales de ningún activo.</w:t>
      </w:r>
    </w:p>
    <w:p w14:paraId="49DF9973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Respuestas genéricas: </w:t>
      </w:r>
      <w:r>
        <w:rPr>
          <w:rFonts w:ascii="Arial" w:hAnsi="Arial" w:eastAsia="Arial" w:cs="Arial"/>
          <w:color w:val="1E293B"/>
          <w:sz w:val="21"/>
          <w:szCs w:val="21"/>
        </w:rPr>
        <w:t>Ante preguntas como «es buen momento para comprar Apple», los chatbots producen texto que suena profesional pero no contiene análisis cuantitativo alguno.</w:t>
      </w:r>
    </w:p>
    <w:p w14:paraId="11FDB05A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Pérdida de capital verificada: </w:t>
      </w:r>
      <w:r>
        <w:rPr>
          <w:rFonts w:ascii="Arial" w:hAnsi="Arial" w:eastAsia="Arial" w:cs="Arial"/>
          <w:color w:val="1E293B"/>
          <w:sz w:val="21"/>
          <w:szCs w:val="21"/>
        </w:rPr>
        <w:t>Experimentos institucionales con capital real demostraron que todas las IAs generativas perdieron dinero operando mercados.</w:t>
      </w:r>
    </w:p>
    <w:p w14:paraId="446F16C9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Brecha institucional-retail: </w:t>
      </w:r>
      <w:r>
        <w:rPr>
          <w:rFonts w:ascii="Arial" w:hAnsi="Arial" w:eastAsia="Arial" w:cs="Arial"/>
          <w:color w:val="1E293B"/>
          <w:sz w:val="21"/>
          <w:szCs w:val="21"/>
        </w:rPr>
        <w:t>Los traders profesionales utilizan sistemas cuantitativos especializados inaccesibles para el retail.</w:t>
      </w:r>
    </w:p>
    <w:p w14:paraId="00060666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1.3 Usuarios Objetivo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4120"/>
      </w:tblGrid>
      <w:tr w14:paraId="278A0B7E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9FA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Segmento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EA5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4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856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Necesidad Principal</w:t>
            </w:r>
          </w:p>
        </w:tc>
      </w:tr>
      <w:tr w14:paraId="2FA815C5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B5CF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Trader Retail Intermedio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78E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1-5 años de experiencia, conoce análisis técnico básico</w:t>
            </w:r>
          </w:p>
        </w:tc>
        <w:tc>
          <w:tcPr>
            <w:tcW w:w="4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B86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Acceso a datos institucionales y estrategias con esperanza matemática positiva</w:t>
            </w:r>
          </w:p>
        </w:tc>
      </w:tr>
      <w:tr w14:paraId="42738E7F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8AF9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Trader Retail Avanzado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2FE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Opera activamente, busca edge cuantitativo</w:t>
            </w:r>
          </w:p>
        </w:tc>
        <w:tc>
          <w:tcPr>
            <w:tcW w:w="4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C76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Osciladores propietarios, gestión de riesgo matemática, confluencia de señales</w:t>
            </w:r>
          </w:p>
        </w:tc>
      </w:tr>
      <w:tr w14:paraId="01CCBD2E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748C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Trader en Formación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2ED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Aprende trading, vulnerable a malas herramientas</w:t>
            </w:r>
          </w:p>
        </w:tc>
        <w:tc>
          <w:tcPr>
            <w:tcW w:w="4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D28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Sistema que le enseñe a operar profesionalmente sin improvisar</w:t>
            </w:r>
          </w:p>
        </w:tc>
      </w:tr>
      <w:tr w14:paraId="692DD66E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D742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Inversor Swing/Posición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11C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Opera en timeframes de días a semanas</w:t>
            </w:r>
          </w:p>
        </w:tc>
        <w:tc>
          <w:tcPr>
            <w:tcW w:w="4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E5D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Proyecciones macro a 90-365 días, probabilidad de recesión</w:t>
            </w:r>
          </w:p>
        </w:tc>
      </w:tr>
    </w:tbl>
    <w:p w14:paraId="0E151730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1.4 Valor Diferencial</w:t>
      </w:r>
    </w:p>
    <w:p w14:paraId="0CDA8322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La ventaja competitiva de ORION ONE se articula en cuatro dimensiones exclusivas:</w:t>
      </w:r>
    </w:p>
    <w:p w14:paraId="7E9DD63E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Osciladores Propietarios (NetBrute + Intenciones): Algoritmos no disponibles en ninguna otra plataforma que miden flujo institucional real y psicología de masa.</w:t>
      </w:r>
    </w:p>
    <w:p w14:paraId="52EC7319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Asistente IA que jamás improvisa: Entrenado exclusivamente con los KPIs del activo cargado, no busca en internet ni genera texto genérico.</w:t>
      </w:r>
    </w:p>
    <w:p w14:paraId="1FCDD65B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Más de 50 KPIs profesionales por activo: Desde volatilidad implícita hasta probabilidad de recesión con modelos estadísticos.</w:t>
      </w:r>
    </w:p>
    <w:p w14:paraId="136BF2B1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Sistema de construcción de estrategias completo: Confluencia de señales, stops dinámicos basados en ATR, take-profits escalonados, y dimensionamiento de posición matemático.</w:t>
      </w:r>
    </w:p>
    <w:p w14:paraId="52216EFB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1.5 Alcance y Potencial de Crecimiento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3870"/>
        <w:gridCol w:w="3420"/>
      </w:tblGrid>
      <w:tr w14:paraId="3ADC51E6">
        <w:tc>
          <w:tcPr>
            <w:tcW w:w="243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1C7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87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A7A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3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8A2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Activos Soportados</w:t>
            </w:r>
          </w:p>
        </w:tc>
      </w:tr>
      <w:tr w14:paraId="1AA85C5F">
        <w:tc>
          <w:tcPr>
            <w:tcW w:w="243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C312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MVP (Actual)</w:t>
            </w:r>
          </w:p>
        </w:tc>
        <w:tc>
          <w:tcPr>
            <w:tcW w:w="387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6D3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Dashboard + Asistente IA + Estrategias para activos individuales</w:t>
            </w:r>
          </w:p>
        </w:tc>
        <w:tc>
          <w:tcPr>
            <w:tcW w:w="3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CBA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Acciones US + Criptomonedas principales</w:t>
            </w:r>
          </w:p>
        </w:tc>
      </w:tr>
      <w:tr w14:paraId="3D43B3CA">
        <w:tc>
          <w:tcPr>
            <w:tcW w:w="243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C0EA">
            <w:r>
              <w:rPr>
                <w:rFonts w:ascii="Arial" w:hAnsi="Arial" w:eastAsia="Arial" w:cs="Arial"/>
                <w:b/>
                <w:bCs/>
                <w:color w:val="8B5CF6"/>
                <w:sz w:val="19"/>
                <w:szCs w:val="19"/>
              </w:rPr>
              <w:t>Fase 2</w:t>
            </w:r>
          </w:p>
        </w:tc>
        <w:tc>
          <w:tcPr>
            <w:tcW w:w="387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8539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Portfolio multi-activo, backtesting histórico, alertas en tiempo real</w:t>
            </w:r>
          </w:p>
        </w:tc>
        <w:tc>
          <w:tcPr>
            <w:tcW w:w="3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255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+ Forex, ETFs, Commodities</w:t>
            </w:r>
          </w:p>
        </w:tc>
      </w:tr>
      <w:tr w14:paraId="44AA0EEA">
        <w:tc>
          <w:tcPr>
            <w:tcW w:w="243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9E8B"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>Fase 3</w:t>
            </w:r>
          </w:p>
        </w:tc>
        <w:tc>
          <w:tcPr>
            <w:tcW w:w="387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761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API para brokers, ejecución semi-automática, marketplace de estrategias</w:t>
            </w:r>
          </w:p>
        </w:tc>
        <w:tc>
          <w:tcPr>
            <w:tcW w:w="3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B2F9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+ Futuros, Opciones, Mercados emergentes</w:t>
            </w:r>
          </w:p>
        </w:tc>
      </w:tr>
    </w:tbl>
    <w:p w14:paraId="0149BA05">
      <w:pPr>
        <w:pBdr>
          <w:bottom w:val="single" w:color="E2E8F0" w:sz="2" w:space="1"/>
        </w:pBdr>
        <w:spacing w:before="200" w:after="200"/>
      </w:pPr>
    </w:p>
    <w:p w14:paraId="536BC2D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2. Ciclo de Vida del Diseño del Software (SDLC)</w:t>
      </w:r>
    </w:p>
    <w:p w14:paraId="32682B60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2.1 Fase de Requerimientos</w:t>
      </w:r>
    </w:p>
    <w:p w14:paraId="1C7B53B6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Del análisis del documento fuente se extraen los siguientes requerimientos funcionales críticos:</w:t>
      </w:r>
    </w:p>
    <w:p w14:paraId="16876034">
      <w:pPr>
        <w:pStyle w:val="4"/>
        <w:spacing w:before="240" w:after="180"/>
      </w:pPr>
      <w:r>
        <w:rPr>
          <w:rFonts w:ascii="Arial" w:hAnsi="Arial" w:eastAsia="Arial" w:cs="Arial"/>
          <w:b/>
          <w:bCs/>
          <w:color w:val="0891B2"/>
          <w:sz w:val="22"/>
          <w:szCs w:val="22"/>
        </w:rPr>
        <w:t>2.1.1 Requerimientos Funcionales (RF)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520"/>
        <w:gridCol w:w="3000"/>
      </w:tblGrid>
      <w:tr w14:paraId="2A547996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75D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93E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6F5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14:paraId="37F3CE39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9C29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RF-001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D17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Dashboard con +50 KPIs profesionales por activo cargado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9287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59DD71EA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C71E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RF-002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798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Oscilador NetBrute: valor, tipo de cruce, zona, nivel de confianza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EDF5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2DA81E8A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75B4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RF-003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D655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Oscilador de Intenciones: estado (BUY/SELL/HOLD), zona, confianza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31DE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5C8734B4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8C22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RF-004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6845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Proyección económica a 90 y 365 días con modelos estadísticos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9801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ALTA</w:t>
            </w:r>
          </w:p>
        </w:tc>
      </w:tr>
      <w:tr w14:paraId="294FF0FB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A793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RF-005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96D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Volatilidad implícita actualizada diariamente con variación semanal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2E82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3935BB79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A218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RF-006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EB65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ATR actual y rango de precios con 95% de confianza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25A1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ALTA</w:t>
            </w:r>
          </w:p>
        </w:tc>
      </w:tr>
      <w:tr w14:paraId="018CB2E0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9C38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RF-007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4D3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Asistente IA exclusivo: analiza solo KPIs del activo cargado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F2F3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3348C597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E798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RF-008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732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Constructor de estrategias: entrada, SL dinámico (ATR), TP escalonados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5992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2CC0CB2A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2772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RF-009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AA5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Gestión de riesgo: regla del 1%, dimensionamiento de posición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0256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CRÍTICA</w:t>
            </w:r>
          </w:p>
        </w:tc>
      </w:tr>
      <w:tr w14:paraId="73220084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F74B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RF-010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312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Checklist pre-operación de 6 puntos de verificación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B12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ALTA</w:t>
            </w:r>
          </w:p>
        </w:tc>
      </w:tr>
      <w:tr w14:paraId="09A5164F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6AF0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RF-011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B1E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Probabilidad de recesión calculada con modelos estadísticos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DA4F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ALTA</w:t>
            </w:r>
          </w:p>
        </w:tc>
      </w:tr>
      <w:tr w14:paraId="79D00D90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9704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RF-012</w:t>
            </w:r>
          </w:p>
        </w:tc>
        <w:tc>
          <w:tcPr>
            <w:tcW w:w="5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F47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Tendencias múltiples: 200, 134 y 50 días con detección de divergencia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8977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ALTA</w:t>
            </w:r>
          </w:p>
        </w:tc>
      </w:tr>
    </w:tbl>
    <w:p w14:paraId="743E6AFC">
      <w:pPr>
        <w:pStyle w:val="4"/>
        <w:spacing w:before="240" w:after="180"/>
      </w:pPr>
      <w:r>
        <w:rPr>
          <w:rFonts w:ascii="Arial" w:hAnsi="Arial" w:eastAsia="Arial" w:cs="Arial"/>
          <w:b/>
          <w:bCs/>
          <w:color w:val="0891B2"/>
          <w:sz w:val="22"/>
          <w:szCs w:val="22"/>
        </w:rPr>
        <w:t>2.1.2 Requerimientos No Funcionales (RNF)</w:t>
      </w:r>
    </w:p>
    <w:p w14:paraId="2984343D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RNF-001 Latencia: </w:t>
      </w:r>
      <w:r>
        <w:rPr>
          <w:rFonts w:ascii="Arial" w:hAnsi="Arial" w:eastAsia="Arial" w:cs="Arial"/>
          <w:color w:val="1E293B"/>
          <w:sz w:val="21"/>
          <w:szCs w:val="21"/>
        </w:rPr>
        <w:t>Dashboard debe cargar KPIs en menos de 3 segundos (mencionado explícitamente en el documento fuente).</w:t>
      </w:r>
    </w:p>
    <w:p w14:paraId="3F08E5E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RNF-002 Actualización: </w:t>
      </w:r>
      <w:r>
        <w:rPr>
          <w:rFonts w:ascii="Arial" w:hAnsi="Arial" w:eastAsia="Arial" w:cs="Arial"/>
          <w:color w:val="1E293B"/>
          <w:sz w:val="21"/>
          <w:szCs w:val="21"/>
        </w:rPr>
        <w:t>Volatilidad implícita actualizada diariamente; osciladores en tiempo real durante horas de mercado.</w:t>
      </w:r>
    </w:p>
    <w:p w14:paraId="17E2B656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RNF-003 Precisión: </w:t>
      </w:r>
      <w:r>
        <w:rPr>
          <w:rFonts w:ascii="Arial" w:hAnsi="Arial" w:eastAsia="Arial" w:cs="Arial"/>
          <w:color w:val="1E293B"/>
          <w:sz w:val="21"/>
          <w:szCs w:val="21"/>
        </w:rPr>
        <w:t>Cálculos financieros con precisión de al menos 2 decimales; dimensionamiento de posición exacto.</w:t>
      </w:r>
    </w:p>
    <w:p w14:paraId="5CD6D1A0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RNF-004 Aislamiento: </w:t>
      </w:r>
      <w:r>
        <w:rPr>
          <w:rFonts w:ascii="Arial" w:hAnsi="Arial" w:eastAsia="Arial" w:cs="Arial"/>
          <w:color w:val="1E293B"/>
          <w:sz w:val="21"/>
          <w:szCs w:val="21"/>
        </w:rPr>
        <w:t>El asistente IA solo procesa datos del activo seleccionado, sin acceso a internet.</w:t>
      </w:r>
    </w:p>
    <w:p w14:paraId="07D46CE4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2.2 Fase de Diseño (Arquitectura Propuesta)</w:t>
      </w:r>
    </w:p>
    <w:p w14:paraId="5115781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Se recomienda una arquitectura de microservicios event-driven con las siguientes capas:</w:t>
      </w:r>
    </w:p>
    <w:p w14:paraId="54DC3268">
      <w:pPr>
        <w:spacing w:before="60" w:after="60" w:line="276" w:lineRule="auto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1E293B"/>
          <w:sz w:val="21"/>
          <w:szCs w:val="21"/>
        </w:rPr>
        <w:t>Capa de Presentación (Frontend SPA) → API Gateway → Microservicios de Dominio → Event Bus → Data Pipeline → Almacén de Datos</w:t>
      </w:r>
    </w:p>
    <w:p w14:paraId="47304FE5">
      <w:pPr>
        <w:spacing w:before="80" w:after="0"/>
      </w:pPr>
    </w:p>
    <w:p w14:paraId="14ED8253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La arquitectura event-driven es crítica porque los datos financieros llegan como streams continuos (precios, volúmenes, órdenes) y los osciladores propietarios deben recalcularse en cascada cuando cambian los inputs. La separación en microservicios permite escalar independientemente el servicio de cálculo de osciladores (CPU-intensivo) del servicio de chat IA (GPU-intensivo).</w:t>
      </w:r>
    </w:p>
    <w:p w14:paraId="6C6B1CDE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2.3 Fase de Desarrollo</w:t>
      </w:r>
    </w:p>
    <w:p w14:paraId="30023046">
      <w:pPr>
        <w:spacing w:before="60" w:after="60" w:line="276" w:lineRule="auto"/>
        <w:jc w:val="both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Metodología: </w:t>
      </w:r>
      <w:r>
        <w:rPr>
          <w:rFonts w:ascii="Arial" w:hAnsi="Arial" w:eastAsia="Arial" w:cs="Arial"/>
          <w:color w:val="1E293B"/>
          <w:sz w:val="21"/>
          <w:szCs w:val="21"/>
        </w:rPr>
        <w:t>Scrum con sprints de 2 semanas, complementado con Kanban para el pipeline de datos financieros que requiere flujo continuo.</w:t>
      </w:r>
    </w:p>
    <w:p w14:paraId="286D0FF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Se recomienda un equipo mínimo de: 2 frontend, 2 backend, 1 ML/data engineer, 1 quant developer (algoritmos propietarios), 1 DevOps, 1 QA especializado en finanzas.</w:t>
      </w:r>
    </w:p>
    <w:p w14:paraId="08E8A242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El desarrollo debe seguir un enfoque de feature flags para habilitar progresivamente los cuatro pilares, comenzando por el dashboard de KPIs y terminando con el constructor de estrategias completo.</w:t>
      </w:r>
    </w:p>
    <w:p w14:paraId="0E43ED0A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2.4 Fase de Pruebas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3520"/>
      </w:tblGrid>
      <w:tr w14:paraId="2DB28D10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311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Tipo de Test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99B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3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576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Herramientas</w:t>
            </w:r>
          </w:p>
        </w:tc>
      </w:tr>
      <w:tr w14:paraId="173451BD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27F4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Unitarios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F2D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Cálculos financieros: ATR, position sizing, esperanza matemática, trailing stops</w:t>
            </w:r>
          </w:p>
        </w:tc>
        <w:tc>
          <w:tcPr>
            <w:tcW w:w="3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07C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Jest, Pytest, verificación con datos históricos reales</w:t>
            </w:r>
          </w:p>
        </w:tc>
      </w:tr>
      <w:tr w14:paraId="41DACC0D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683F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Integración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3D3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Pipeline de datos → osciladores → KPIs → dashboard</w:t>
            </w:r>
          </w:p>
        </w:tc>
        <w:tc>
          <w:tcPr>
            <w:tcW w:w="3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A80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Testcontainers, datos de mercado sandbox</w:t>
            </w:r>
          </w:p>
        </w:tc>
      </w:tr>
      <w:tr w14:paraId="036137CF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3BFE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E2E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3C2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Flujo completo: cargar activo → ver KPIs → pedir estrategia → verificar checklist</w:t>
            </w:r>
          </w:p>
        </w:tc>
        <w:tc>
          <w:tcPr>
            <w:tcW w:w="3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C31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Cypress/Playwright</w:t>
            </w:r>
          </w:p>
        </w:tc>
      </w:tr>
      <w:tr w14:paraId="0A7D861F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6D16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Precisión Financiera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E43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Backtesting de estrategias generadas contra datos históricos</w:t>
            </w:r>
          </w:p>
        </w:tc>
        <w:tc>
          <w:tcPr>
            <w:tcW w:w="3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F14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Python + datasets históricos</w:t>
            </w:r>
          </w:p>
        </w:tc>
      </w:tr>
      <w:tr w14:paraId="02BF2026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4B62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Carga</w:t>
            </w:r>
          </w:p>
        </w:tc>
        <w:tc>
          <w:tcPr>
            <w:tcW w:w="4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534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1000+ usuarios concurrentes consultando KPIs en horas pico</w:t>
            </w:r>
          </w:p>
        </w:tc>
        <w:tc>
          <w:tcPr>
            <w:tcW w:w="3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8DA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k6, Locust</w:t>
            </w:r>
          </w:p>
        </w:tc>
      </w:tr>
    </w:tbl>
    <w:p w14:paraId="376A4504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2.5 Fase de Despliegue</w:t>
      </w:r>
    </w:p>
    <w:p w14:paraId="55108C80">
      <w:pPr>
        <w:spacing w:before="60" w:after="60" w:line="276" w:lineRule="auto"/>
        <w:jc w:val="both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Estrategia: </w:t>
      </w:r>
      <w:r>
        <w:rPr>
          <w:rFonts w:ascii="Arial" w:hAnsi="Arial" w:eastAsia="Arial" w:cs="Arial"/>
          <w:color w:val="1E293B"/>
          <w:sz w:val="21"/>
          <w:szCs w:val="21"/>
        </w:rPr>
        <w:t>Blue-Green Deployment con canary releases para cambios en algoritmos de osciladores.</w:t>
      </w:r>
    </w:p>
    <w:p w14:paraId="1D263C13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Staging: </w:t>
      </w:r>
      <w:r>
        <w:rPr>
          <w:rFonts w:ascii="Arial" w:hAnsi="Arial" w:eastAsia="Arial" w:cs="Arial"/>
          <w:color w:val="1E293B"/>
          <w:sz w:val="21"/>
          <w:szCs w:val="21"/>
        </w:rPr>
        <w:t>Conectado a datos de mercado reales con delay de 15 minutos.</w:t>
      </w:r>
    </w:p>
    <w:p w14:paraId="300CCC1B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Producción: </w:t>
      </w:r>
      <w:r>
        <w:rPr>
          <w:rFonts w:ascii="Arial" w:hAnsi="Arial" w:eastAsia="Arial" w:cs="Arial"/>
          <w:color w:val="1E293B"/>
          <w:sz w:val="21"/>
          <w:szCs w:val="21"/>
        </w:rPr>
        <w:t>Datos en tiempo real, auto-scaling basado en horas de mercado (NYSE 9:30-16:00 ET, crypto 24/7).</w:t>
      </w:r>
    </w:p>
    <w:p w14:paraId="667F29E3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DR (Disaster Recovery): </w:t>
      </w:r>
      <w:r>
        <w:rPr>
          <w:rFonts w:ascii="Arial" w:hAnsi="Arial" w:eastAsia="Arial" w:cs="Arial"/>
          <w:color w:val="1E293B"/>
          <w:sz w:val="21"/>
          <w:szCs w:val="21"/>
        </w:rPr>
        <w:t>RPO &lt; 1 hora, RTO &lt; 15 minutos. Los datos de mercado son efimeros pero las estrategias del usuario son críticas.</w:t>
      </w:r>
    </w:p>
    <w:p w14:paraId="2E209505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2.6 Fase de Mantenimiento</w:t>
      </w:r>
    </w:p>
    <w:p w14:paraId="5D82EE44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Recalibración trimestral de modelos de osciladores (mencionada explícitamente como advertencia crítica en el documento).</w:t>
      </w:r>
    </w:p>
    <w:p w14:paraId="6BD4233F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Actualización de modelos de probabilidad de recesión según nuevos indicadores macro.</w:t>
      </w:r>
    </w:p>
    <w:p w14:paraId="20AAD824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Monitoreo continuo de drift en las predicciones del asistente IA.</w:t>
      </w:r>
    </w:p>
    <w:p w14:paraId="14CFFE1D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Auditoría de precisión: comparar recomendaciones históricas vs resultados reales.</w:t>
      </w:r>
    </w:p>
    <w:p w14:paraId="519EB748">
      <w:pPr>
        <w:pBdr>
          <w:bottom w:val="single" w:color="E2E8F0" w:sz="2" w:space="1"/>
        </w:pBdr>
        <w:spacing w:before="200" w:after="200"/>
      </w:pPr>
    </w:p>
    <w:p w14:paraId="1BAFD59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3. Stack Tecnológico Recomendado</w:t>
      </w:r>
    </w:p>
    <w:p w14:paraId="68A63E4E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3.1 Frontend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920"/>
      </w:tblGrid>
      <w:tr w14:paraId="26824FAE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BF3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288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08D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14:paraId="0BFB8FFB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D8AD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Framework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2DE6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Next.js 15 (App Router)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3CC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SSR para SEO del landing, RSC para dashboard pesado, streaming para carga progresiva de KPIs</w:t>
            </w:r>
          </w:p>
        </w:tc>
      </w:tr>
      <w:tr w14:paraId="6E04F352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E3EE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Estado Global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916D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Zustand + TanStack Query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7D5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Zustand para estado de UI (activo seleccionado). TanStack Query para cache de datos financieros con invalidación por WebSocket</w:t>
            </w:r>
          </w:p>
        </w:tc>
      </w:tr>
      <w:tr w14:paraId="38196FFE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44FF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Gráficos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6ABD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TradingView Lightweight Charts + D3.js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C97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Lightweight Charts para candlesticks profesionales. D3 para gauges y osciladores custom. Estándar de la industria</w:t>
            </w:r>
          </w:p>
        </w:tc>
      </w:tr>
      <w:tr w14:paraId="43D08469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3BB9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Estilos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1C6A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Tailwind CSS + CSS Modules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FA8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Dark theme nativo del mundo trading. Tailwind para utilidades rápidas, CSS Modules para componentes complejos de dashboard</w:t>
            </w:r>
          </w:p>
        </w:tc>
      </w:tr>
      <w:tr w14:paraId="2C7CDC56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4327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Tiempo Real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9975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WebSocket + SSE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F46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WebSocket para precios y osciladores en tiempo real. SSE para streaming de respuestas del asistente IA</w:t>
            </w:r>
          </w:p>
        </w:tc>
      </w:tr>
      <w:tr w14:paraId="7668CBC7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C74A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UI Components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70D8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Radix UI + shadcn/ui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B03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Componentes accesibles y personalizables. shadcn para inputs, modales y dropdowns del constructor de estrategias</w:t>
            </w:r>
          </w:p>
        </w:tc>
      </w:tr>
    </w:tbl>
    <w:p w14:paraId="6206AE4E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3.2 Backend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920"/>
      </w:tblGrid>
      <w:tr w14:paraId="05C7CD36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4D5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1AC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715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14:paraId="441610B1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3B76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API Principal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BEF7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Node.js + Fastify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0EC7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Alto throughput para WebSocket connections masivas. TypeScript end-to-end con el frontend</w:t>
            </w:r>
          </w:p>
        </w:tc>
      </w:tr>
      <w:tr w14:paraId="383916D5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08F4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Motor Cuantitativo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6BE6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Python + FastAPI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D87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Ecosistema científico (NumPy, Pandas, SciPy) para cálculo de osciladores, ATR, volatilidad implícita, modelos estadísticos</w:t>
            </w:r>
          </w:p>
        </w:tc>
      </w:tr>
      <w:tr w14:paraId="6F795D6F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9D33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Asistente IA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F937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Python + LangChain + Claude API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2010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LLM con contexto restringido a KPIs del activo. RAG sobre documentación financiera. Prompt engineering especializado</w:t>
            </w:r>
          </w:p>
        </w:tc>
      </w:tr>
      <w:tr w14:paraId="13E4E4F7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F7B0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Data Pipeline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1AC8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Apache Kafka + Flink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0969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Ingesta de datos de mercado en streaming. Kafka para desacoplamiento. Flink para cálculos en ventana (volatilidad rolling)</w:t>
            </w:r>
          </w:p>
        </w:tc>
      </w:tr>
      <w:tr w14:paraId="19A05A04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72A8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API Gateway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BDE8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Kong / AWS API Gateway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69A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Rate limiting por tier de suscripción. Autenticación centralizada. Caché de KPIs</w:t>
            </w:r>
          </w:p>
        </w:tc>
      </w:tr>
    </w:tbl>
    <w:p w14:paraId="1FA6F187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3.3 Base de Datos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920"/>
      </w:tblGrid>
      <w:tr w14:paraId="5B096289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B6D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6F7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6E4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14:paraId="517A45ED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B619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Relacional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4C9A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PostgreSQL 16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BD0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Usuarios, suscripciones, estrategias guardadas, historial de análisis. TimescaleDB extension para series temporales</w:t>
            </w:r>
          </w:p>
        </w:tc>
      </w:tr>
      <w:tr w14:paraId="79BEADD7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64E1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Time-Series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5283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TimescaleDB (ext. PostgreSQL)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23A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Precios históricos, valores de osciladores, volatilidad, ATR. Compresión nativa, queries temporales optimizados</w:t>
            </w:r>
          </w:p>
        </w:tc>
      </w:tr>
      <w:tr w14:paraId="5BD112BF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2265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Cache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4B33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Redis Cluster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DFE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KPIs precalculados, sesión de activo cargado, rate limiting, pub/sub para WebSocket</w:t>
            </w:r>
          </w:p>
        </w:tc>
      </w:tr>
      <w:tr w14:paraId="199E9C58"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E187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Vectorial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8E43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pgvector (ext. PostgreSQL)</w:t>
            </w:r>
          </w:p>
        </w:tc>
        <w:tc>
          <w:tcPr>
            <w:tcW w:w="49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16E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Embeddings de documentación financiera para RAG del asistente IA</w:t>
            </w:r>
          </w:p>
        </w:tc>
      </w:tr>
    </w:tbl>
    <w:p w14:paraId="46FBF708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3.4 Infraestructura</w:t>
      </w:r>
    </w:p>
    <w:p w14:paraId="281B590A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Cloud: </w:t>
      </w:r>
      <w:r>
        <w:rPr>
          <w:rFonts w:ascii="Arial" w:hAnsi="Arial" w:eastAsia="Arial" w:cs="Arial"/>
          <w:color w:val="1E293B"/>
          <w:sz w:val="21"/>
          <w:szCs w:val="21"/>
        </w:rPr>
        <w:t>AWS (primario) con multi-region para baja latencia global. us-east-1 (proximidad a NYSE) + eu-west-1.</w:t>
      </w:r>
    </w:p>
    <w:p w14:paraId="7F06A772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Contenedores: </w:t>
      </w:r>
      <w:r>
        <w:rPr>
          <w:rFonts w:ascii="Arial" w:hAnsi="Arial" w:eastAsia="Arial" w:cs="Arial"/>
          <w:color w:val="1E293B"/>
          <w:sz w:val="21"/>
          <w:szCs w:val="21"/>
        </w:rPr>
        <w:t>Kubernetes (EKS) con auto-scaling basado en horas de mercado. Pod priority para servicios críticos.</w:t>
      </w:r>
    </w:p>
    <w:p w14:paraId="7254EB02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CI/CD: </w:t>
      </w:r>
      <w:r>
        <w:rPr>
          <w:rFonts w:ascii="Arial" w:hAnsi="Arial" w:eastAsia="Arial" w:cs="Arial"/>
          <w:color w:val="1E293B"/>
          <w:sz w:val="21"/>
          <w:szCs w:val="21"/>
        </w:rPr>
        <w:t>GitHub Actions + ArgoCD para GitOps. Pipeline: lint → test → build → security scan → staging → canary → production.</w:t>
      </w:r>
    </w:p>
    <w:p w14:paraId="178EB3E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Monitoring: </w:t>
      </w:r>
      <w:r>
        <w:rPr>
          <w:rFonts w:ascii="Arial" w:hAnsi="Arial" w:eastAsia="Arial" w:cs="Arial"/>
          <w:color w:val="1E293B"/>
          <w:sz w:val="21"/>
          <w:szCs w:val="21"/>
        </w:rPr>
        <w:t>Datadog para métricas de infraestructura + custom dashboards para precisión de osciladores. PagerDuty para alertas.</w:t>
      </w:r>
    </w:p>
    <w:p w14:paraId="1BFE8F6F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CDN: </w:t>
      </w:r>
      <w:r>
        <w:rPr>
          <w:rFonts w:ascii="Arial" w:hAnsi="Arial" w:eastAsia="Arial" w:cs="Arial"/>
          <w:color w:val="1E293B"/>
          <w:sz w:val="21"/>
          <w:szCs w:val="21"/>
        </w:rPr>
        <w:t>CloudFront para assets estáticos del dashboard.</w:t>
      </w:r>
    </w:p>
    <w:p w14:paraId="2692FDD7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3.5 Servicios Externos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800"/>
        <w:gridCol w:w="4420"/>
      </w:tblGrid>
      <w:tr w14:paraId="13CB2055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BAF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E0B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Proveedor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7D9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14:paraId="697D8582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3FDB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Datos de Mercado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1D65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Polygon.io / Alpha Vantage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9000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Precios en tiempo real, históricos, datos fundamentales. APIs con WebSocket</w:t>
            </w:r>
          </w:p>
        </w:tc>
      </w:tr>
      <w:tr w14:paraId="76374A14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2CC4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Volatilidad / Opciones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07C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CBOE / IVolatility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057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Volatilidad implícita, skew, superficie de volatilidad</w:t>
            </w:r>
          </w:p>
        </w:tc>
      </w:tr>
      <w:tr w14:paraId="49503EC7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8F1C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Datos Macro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F07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FRED API (Federal Reserve)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4550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Indicadores macroeconómicos, curva de rendimientos, probabilidad de recesión</w:t>
            </w:r>
          </w:p>
        </w:tc>
      </w:tr>
      <w:tr w14:paraId="264F04B4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7122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Autenticación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D70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Auth0 / Clerk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1E9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OAuth2, MFA, gestión de suscripciones por tier</w:t>
            </w:r>
          </w:p>
        </w:tc>
      </w:tr>
      <w:tr w14:paraId="641EC672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281F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Pagos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B70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Stripe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F04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Suscripciones recurrentes con múltiples planes</w:t>
            </w:r>
          </w:p>
        </w:tc>
      </w:tr>
      <w:tr w14:paraId="15C416A7"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FF6E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LLM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DA2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Anthropic Claude API</w:t>
            </w:r>
          </w:p>
        </w:tc>
        <w:tc>
          <w:tcPr>
            <w:tcW w:w="44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8D8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Motor del asistente IA con contexto restringido a KPIs</w:t>
            </w:r>
          </w:p>
        </w:tc>
      </w:tr>
    </w:tbl>
    <w:p w14:paraId="30740D0A">
      <w:pPr>
        <w:pBdr>
          <w:bottom w:val="single" w:color="E2E8F0" w:sz="2" w:space="1"/>
        </w:pBdr>
        <w:spacing w:before="200" w:after="200"/>
      </w:pPr>
    </w:p>
    <w:p w14:paraId="619BCAB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4. Arquitectura de Módulos</w:t>
      </w:r>
    </w:p>
    <w:p w14:paraId="147FAC81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4.1 Diagrama de Módulos (Jerárquico)</w:t>
      </w:r>
    </w:p>
    <w:p w14:paraId="545A22D9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ORION ONE</w:t>
      </w:r>
    </w:p>
    <w:p w14:paraId="53D6B372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M1: Asset Manager (Gestión de Activos)</w:t>
      </w:r>
    </w:p>
    <w:p w14:paraId="3FFA373C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Selección y carga de activos</w:t>
      </w:r>
    </w:p>
    <w:p w14:paraId="187A1258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Caché de KPIs por activo</w:t>
      </w:r>
    </w:p>
    <w:p w14:paraId="3133450C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Restricción: solo 1 activo activo simultáneamente</w:t>
      </w:r>
    </w:p>
    <w:p w14:paraId="412FAA2A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M2: Data Engine (Motor de Datos)</w:t>
      </w:r>
    </w:p>
    <w:p w14:paraId="146759AD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Ingesta de precios en tiempo real</w:t>
      </w:r>
    </w:p>
    <w:p w14:paraId="0A4FF997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Cálculo de ATR, rangos, tendencias</w:t>
      </w:r>
    </w:p>
    <w:p w14:paraId="3F641DAC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Volatilidad implícita + variación semanal</w:t>
      </w:r>
    </w:p>
    <w:p w14:paraId="2607CBC0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Proyecciones macro (90d, 365d, recesión)</w:t>
      </w:r>
    </w:p>
    <w:p w14:paraId="44C18628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M3: Oscillator Engine (Motor de Osciladores)</w:t>
      </w:r>
    </w:p>
    <w:p w14:paraId="686DB2C0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NetBrute: flujo institucional de órdenes</w:t>
      </w:r>
    </w:p>
    <w:p w14:paraId="67D7D8C5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Intenciones: psicología de masa</w:t>
      </w:r>
    </w:p>
    <w:p w14:paraId="5190B444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Momentum: presión compradora/vendedora</w:t>
      </w:r>
    </w:p>
    <w:p w14:paraId="7CBE8661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M4: AI Assistant (Asistente IA)</w:t>
      </w:r>
    </w:p>
    <w:p w14:paraId="7B8F85D4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Contexto exclusivo: KPIs del activo cargado</w:t>
      </w:r>
    </w:p>
    <w:p w14:paraId="02AEBAE3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Generación de estrategias basadas en datos</w:t>
      </w:r>
    </w:p>
    <w:p w14:paraId="2A0A0909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Explicación de conceptos financieros</w:t>
      </w:r>
    </w:p>
    <w:p w14:paraId="04592D13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M5: Strategy Builder (Constructor de Estrategias)</w:t>
      </w:r>
    </w:p>
    <w:p w14:paraId="40A86EB6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Confluencia de señales (NetBrute + Intenciones + Macro)</w:t>
      </w:r>
    </w:p>
    <w:p w14:paraId="76B8BE1E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Stop Loss dinámico (ATR-based)</w:t>
      </w:r>
    </w:p>
    <w:p w14:paraId="694E023D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Take Profit escalonados</w:t>
      </w:r>
    </w:p>
    <w:p w14:paraId="4A4A36E1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Dimensionamiento de posición (regla del 1%)</w:t>
      </w:r>
    </w:p>
    <w:p w14:paraId="50DA104F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M6: Risk Manager (Gestión de Riesgo)</w:t>
      </w:r>
    </w:p>
    <w:p w14:paraId="72CA7932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Cálculo de tamaño de posición</w:t>
      </w:r>
    </w:p>
    <w:p w14:paraId="6D2275B3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├── Ratio riesgo/beneficio</w:t>
      </w:r>
    </w:p>
    <w:p w14:paraId="3DBF9410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Esperanza matemática</w:t>
      </w:r>
    </w:p>
    <w:p w14:paraId="36FBE2A8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├── M7: Pre-Trade Checklist (Checklist Pre-Operación)</w:t>
      </w:r>
    </w:p>
    <w:p w14:paraId="69DFC6DD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│   └── 6 verificaciones obligatorias antes de cada trade</w:t>
      </w:r>
    </w:p>
    <w:p w14:paraId="19089ECA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└── M8: Dashboard UI (Interfaz de Usuario)</w:t>
      </w:r>
    </w:p>
    <w:p w14:paraId="3FD4EB93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├── Panel de KPIs (+50 métricas)</w:t>
      </w:r>
    </w:p>
    <w:p w14:paraId="5665E1F5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├── Visualización de osciladores</w:t>
      </w:r>
    </w:p>
    <w:p w14:paraId="29384ED6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├── Chat del asistente</w:t>
      </w:r>
    </w:p>
    <w:p w14:paraId="1141C645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└── Panel de estrategia + checklist</w:t>
      </w:r>
    </w:p>
    <w:p w14:paraId="27815252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4.2 Dependencias entre Módulos</w:t>
      </w:r>
    </w:p>
    <w:p w14:paraId="1FBE6A85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El flujo de dependencias sigue una dirección clara:</w:t>
      </w:r>
    </w:p>
    <w:p w14:paraId="4EFB2286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M1 (Asset Manager) ──▶ M2 (Data Engine) ──▶ M3 (Oscillator Engine)</w:t>
      </w:r>
    </w:p>
    <w:p w14:paraId="2C9E2931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│                         │                        │</w:t>
      </w:r>
    </w:p>
    <w:p w14:paraId="5E31DF32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└───────────────────────▼───────────────────────┘</w:t>
      </w:r>
    </w:p>
    <w:p w14:paraId="1506DCC4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                  M4 (AI Assistant)</w:t>
      </w:r>
    </w:p>
    <w:p w14:paraId="42F311E8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                  M5 (Strategy Builder) ─▶ M6 (Risk Manager)</w:t>
      </w:r>
    </w:p>
    <w:p w14:paraId="5481508E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                         │</w:t>
      </w:r>
    </w:p>
    <w:p w14:paraId="3FBAAE38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 xml:space="preserve">                              M7 (Checklist) ──▶ M8 (Dashboard UI)</w:t>
      </w:r>
    </w:p>
    <w:p w14:paraId="25BDC03C">
      <w:pPr>
        <w:spacing w:before="80" w:after="0"/>
      </w:pPr>
    </w:p>
    <w:p w14:paraId="740974D2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1"/>
          <w:szCs w:val="21"/>
        </w:rPr>
        <w:t>Patrón clave: M4 (AI Assistant) depende de M2 y M3 pero NUNCA accede directamente a fuentes externas. Su contexto está completamente contenido por los KPIs calculados.</w:t>
      </w:r>
    </w:p>
    <w:p w14:paraId="275A6B43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4.3 Patrones de Diseño Aplicables</w:t>
      </w:r>
    </w:p>
    <w:p w14:paraId="7571CE56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Observer Pattern: </w:t>
      </w:r>
      <w:r>
        <w:rPr>
          <w:rFonts w:ascii="Arial" w:hAnsi="Arial" w:eastAsia="Arial" w:cs="Arial"/>
          <w:color w:val="1E293B"/>
          <w:sz w:val="21"/>
          <w:szCs w:val="21"/>
        </w:rPr>
        <w:t>Osciladores se recalculan automáticamente cuando cambian datos del Data Engine.</w:t>
      </w:r>
    </w:p>
    <w:p w14:paraId="2911D86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Strategy Pattern: </w:t>
      </w:r>
      <w:r>
        <w:rPr>
          <w:rFonts w:ascii="Arial" w:hAnsi="Arial" w:eastAsia="Arial" w:cs="Arial"/>
          <w:color w:val="1E293B"/>
          <w:sz w:val="21"/>
          <w:szCs w:val="21"/>
        </w:rPr>
        <w:t>Diferentes algoritmos de cálculo de stop loss (ATR-based, porcentaje fijo, trailing) intercambiables.</w:t>
      </w:r>
    </w:p>
    <w:p w14:paraId="30C07BE7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Chain of Responsibility: </w:t>
      </w:r>
      <w:r>
        <w:rPr>
          <w:rFonts w:ascii="Arial" w:hAnsi="Arial" w:eastAsia="Arial" w:cs="Arial"/>
          <w:color w:val="1E293B"/>
          <w:sz w:val="21"/>
          <w:szCs w:val="21"/>
        </w:rPr>
        <w:t>Checklist pre-operación como cadena de validadores independientes.</w:t>
      </w:r>
    </w:p>
    <w:p w14:paraId="6C594034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Mediator: </w:t>
      </w:r>
      <w:r>
        <w:rPr>
          <w:rFonts w:ascii="Arial" w:hAnsi="Arial" w:eastAsia="Arial" w:cs="Arial"/>
          <w:color w:val="1E293B"/>
          <w:sz w:val="21"/>
          <w:szCs w:val="21"/>
        </w:rPr>
        <w:t>Asset Manager como mediador que coordina qué datos fluyen al AI Assistant.</w:t>
      </w:r>
    </w:p>
    <w:p w14:paraId="2556A69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CQRS: </w:t>
      </w:r>
      <w:r>
        <w:rPr>
          <w:rFonts w:ascii="Arial" w:hAnsi="Arial" w:eastAsia="Arial" w:cs="Arial"/>
          <w:color w:val="1E293B"/>
          <w:sz w:val="21"/>
          <w:szCs w:val="21"/>
        </w:rPr>
        <w:t>Separar lectura de KPIs (alta frecuencia) de escritura de estrategias (baja frecuencia).</w:t>
      </w:r>
    </w:p>
    <w:p w14:paraId="11A9EEF3">
      <w:pPr>
        <w:pBdr>
          <w:bottom w:val="single" w:color="E2E8F0" w:sz="2" w:space="1"/>
        </w:pBdr>
        <w:spacing w:before="200" w:after="200"/>
      </w:pPr>
    </w:p>
    <w:p w14:paraId="0C933D41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5. Modelo de Datos</w:t>
      </w:r>
    </w:p>
    <w:p w14:paraId="04A4CFC7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5.1 Entidades Principales</w:t>
      </w:r>
    </w:p>
    <w:p w14:paraId="4338917C">
      <w:pPr>
        <w:spacing w:before="120" w:after="60" w:line="276" w:lineRule="auto"/>
        <w:jc w:val="both"/>
      </w:pPr>
      <w:r>
        <w:rPr>
          <w:rFonts w:ascii="Arial" w:hAnsi="Arial" w:eastAsia="Arial" w:cs="Arial"/>
          <w:b/>
          <w:bCs/>
          <w:i w:val="0"/>
          <w:iCs w:val="0"/>
          <w:color w:val="1E293B"/>
          <w:sz w:val="21"/>
          <w:szCs w:val="21"/>
        </w:rPr>
        <w:t>Asset (Activo Financiero)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520"/>
      </w:tblGrid>
      <w:tr w14:paraId="6578A840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9E5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8D6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C09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2BC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</w:tr>
      <w:tr w14:paraId="6C26A3D8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F91D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symbol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128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VARCHAR(10) PK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52B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AAPL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FF2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Único, inmutable</w:t>
            </w:r>
          </w:p>
        </w:tc>
      </w:tr>
      <w:tr w14:paraId="7C255A62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62E5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name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A3F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VARCHAR(100)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CAC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Apple Inc.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B28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NOT NULL</w:t>
            </w:r>
          </w:p>
        </w:tc>
      </w:tr>
      <w:tr w14:paraId="14FA2995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47F0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type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029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ENUM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0B47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Stock, Crypto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579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Determina proveedores de datos</w:t>
            </w:r>
          </w:p>
        </w:tc>
      </w:tr>
      <w:tr w14:paraId="014A30DB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668C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current_price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9B8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DECIMAL(18,8)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D837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272.95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F3E7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Precisión de 8 decimales para crypto</w:t>
            </w:r>
          </w:p>
        </w:tc>
      </w:tr>
      <w:tr w14:paraId="5EE0D01F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346D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atr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292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DECIMAL(12,4)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DC60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3.27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867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Recalculado cada cierre</w:t>
            </w:r>
          </w:p>
        </w:tc>
      </w:tr>
      <w:tr w14:paraId="0A39F741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D77D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implied_volatility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7C6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DECIMAL(8,4)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617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24.56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ACB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Actualizado diariamente</w:t>
            </w:r>
          </w:p>
        </w:tc>
      </w:tr>
      <w:tr w14:paraId="4B331E54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8BAE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vol_weekly_change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14C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DECIMAL(8,4)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CD6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2.80</w:t>
            </w:r>
          </w:p>
        </w:tc>
        <w:tc>
          <w:tcPr>
            <w:tcW w:w="25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E23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Variación vs semana anterior</w:t>
            </w:r>
          </w:p>
        </w:tc>
      </w:tr>
    </w:tbl>
    <w:p w14:paraId="549C7663">
      <w:pPr>
        <w:spacing w:before="120" w:after="0"/>
      </w:pPr>
    </w:p>
    <w:p w14:paraId="08DA38FE">
      <w:pPr>
        <w:spacing w:before="60" w:after="60" w:line="276" w:lineRule="auto"/>
        <w:jc w:val="both"/>
      </w:pPr>
      <w:r>
        <w:rPr>
          <w:rFonts w:ascii="Arial" w:hAnsi="Arial" w:eastAsia="Arial" w:cs="Arial"/>
          <w:b/>
          <w:bCs/>
          <w:i w:val="0"/>
          <w:iCs w:val="0"/>
          <w:color w:val="1E293B"/>
          <w:sz w:val="21"/>
          <w:szCs w:val="21"/>
        </w:rPr>
        <w:t>OscillatorReading (Lectura de Oscilador)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2200"/>
        <w:gridCol w:w="2720"/>
      </w:tblGrid>
      <w:tr w14:paraId="6D547B3E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02F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E43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F1B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4F7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14:paraId="6DFAF9E9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EA20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oscillator_type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1FB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ENUM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E46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NETBRUTE, INTENTIONS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F15F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FK al tipo de oscilador</w:t>
            </w:r>
          </w:p>
        </w:tc>
      </w:tr>
      <w:tr w14:paraId="2625FFE6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AF97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value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421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DECIMAL(10,4)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CC2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-35.53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5C2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Rango [-100, 100] para NetBrute</w:t>
            </w:r>
          </w:p>
        </w:tc>
      </w:tr>
      <w:tr w14:paraId="310F3222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2A9C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cross_type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689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ENUM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56B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bullish, bearish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AC2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Cruce detectado por algoritmo</w:t>
            </w:r>
          </w:p>
        </w:tc>
      </w:tr>
      <w:tr w14:paraId="613457F2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173B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zone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CAB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ENUM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984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bullish, bearish, neutral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0BC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Zona calculada del oscilador</w:t>
            </w:r>
          </w:p>
        </w:tc>
      </w:tr>
      <w:tr w14:paraId="492D4F01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B598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confidence_level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F66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DECIMAL(5,2)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79A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57.00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EA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0-100%, umbral crítico: 60%</w:t>
            </w:r>
          </w:p>
        </w:tc>
      </w:tr>
    </w:tbl>
    <w:p w14:paraId="71A26566">
      <w:pPr>
        <w:spacing w:before="120" w:after="0"/>
      </w:pPr>
    </w:p>
    <w:p w14:paraId="6BC54D83">
      <w:pPr>
        <w:spacing w:before="60" w:after="60" w:line="276" w:lineRule="auto"/>
        <w:jc w:val="both"/>
      </w:pPr>
      <w:r>
        <w:rPr>
          <w:rFonts w:ascii="Arial" w:hAnsi="Arial" w:eastAsia="Arial" w:cs="Arial"/>
          <w:b/>
          <w:bCs/>
          <w:i w:val="0"/>
          <w:iCs w:val="0"/>
          <w:color w:val="1E293B"/>
          <w:sz w:val="21"/>
          <w:szCs w:val="21"/>
        </w:rPr>
        <w:t>Strategy (Estrategia Generada)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2200"/>
        <w:gridCol w:w="2720"/>
      </w:tblGrid>
      <w:tr w14:paraId="369B331B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BE0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753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B42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592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14:paraId="4AF78F1C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CE66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direction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6A9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ENUM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D46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LONG, SHORT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B3F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Debe alinearse con confluencia</w:t>
            </w:r>
          </w:p>
        </w:tc>
      </w:tr>
      <w:tr w14:paraId="77EC0095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ECDF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entry_price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813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DECIMAL(18,8)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D38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272.95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672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Precio al momento de generación</w:t>
            </w:r>
          </w:p>
        </w:tc>
      </w:tr>
      <w:tr w14:paraId="6319841A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324E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stop_loss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760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DECIMAL(18,8)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64E9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264.78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081B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Calculado: entry - (ATR * multiplier)</w:t>
            </w:r>
          </w:p>
        </w:tc>
      </w:tr>
      <w:tr w14:paraId="2E7DE841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8994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atr_multiplier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959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DECIMAL(4,2)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D36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2.50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CF19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Default 2.5, ajustable por volatilidad</w:t>
            </w:r>
          </w:p>
        </w:tc>
      </w:tr>
      <w:tr w14:paraId="3C0E907C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931F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tp_levels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5E50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JSONB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FD4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[{pct:50, price:289.2}]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A549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Take profits escalonados</w:t>
            </w:r>
          </w:p>
        </w:tc>
      </w:tr>
      <w:tr w14:paraId="3EA87ABD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E964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position_size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DA0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2475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12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78F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Unidades según regla del 1%</w:t>
            </w:r>
          </w:p>
        </w:tc>
      </w:tr>
      <w:tr w14:paraId="2AA5D528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9C30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confluence_score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08A0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923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3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E34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0-3 señales alineadas</w:t>
            </w:r>
          </w:p>
        </w:tc>
      </w:tr>
      <w:tr w14:paraId="76277049"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2268">
            <w:r>
              <w:rPr>
                <w:rFonts w:ascii="Courier New" w:hAnsi="Courier New" w:eastAsia="Courier New" w:cs="Courier New"/>
                <w:b w:val="0"/>
                <w:bCs w:val="0"/>
                <w:color w:val="1E293B"/>
                <w:sz w:val="19"/>
                <w:szCs w:val="19"/>
              </w:rPr>
              <w:t>expectancy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362D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DECIMAL(10,4)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AC9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1.87</w:t>
            </w:r>
          </w:p>
        </w:tc>
        <w:tc>
          <w:tcPr>
            <w:tcW w:w="2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9F8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Esperanza matemática calculada</w:t>
            </w:r>
          </w:p>
        </w:tc>
      </w:tr>
    </w:tbl>
    <w:p w14:paraId="78B6DB92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5.2 Relaciones Clave</w:t>
      </w:r>
    </w:p>
    <w:p w14:paraId="3E0556E6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User 1──N Strategy</w:t>
      </w:r>
    </w:p>
    <w:p w14:paraId="1543E0CA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Asset 1──N OscillatorReading</w:t>
      </w:r>
    </w:p>
    <w:p w14:paraId="3ABDF306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Asset 1──N PriceHistory (TimescaleDB hypertable)</w:t>
      </w:r>
    </w:p>
    <w:p w14:paraId="01550C6A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Strategy N──1 Asset</w:t>
      </w:r>
    </w:p>
    <w:p w14:paraId="5487A35B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Strategy 1──1 ChecklistResult</w:t>
      </w:r>
    </w:p>
    <w:p w14:paraId="27513F8B">
      <w:pPr>
        <w:shd w:val="clear" w:fill="F1F5F9"/>
        <w:spacing w:before="80" w:after="80"/>
        <w:ind w:left="360" w:right="360"/>
      </w:pPr>
      <w:r>
        <w:rPr>
          <w:rFonts w:ascii="Courier New" w:hAnsi="Courier New" w:eastAsia="Courier New" w:cs="Courier New"/>
          <w:color w:val="1E293B"/>
          <w:sz w:val="18"/>
          <w:szCs w:val="18"/>
        </w:rPr>
        <w:t>User 1──1 Subscription</w:t>
      </w:r>
    </w:p>
    <w:p w14:paraId="7A9362BD">
      <w:pPr>
        <w:pBdr>
          <w:bottom w:val="single" w:color="E2E8F0" w:sz="2" w:space="1"/>
        </w:pBdr>
        <w:spacing w:before="200" w:after="200"/>
      </w:pPr>
    </w:p>
    <w:p w14:paraId="6997191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6. Flujos de Trabajo Clave</w:t>
      </w:r>
    </w:p>
    <w:p w14:paraId="75340F72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6.1 Flujo Principal: Cargar Activo y Analizar</w:t>
      </w:r>
    </w:p>
    <w:p w14:paraId="7476C360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Usuario selecciona activo en el sidebar (ej: AAPL).</w:t>
      </w:r>
    </w:p>
    <w:p w14:paraId="16A8D9FF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Asset Manager emite evento asset:selected con el símbolo.</w:t>
      </w:r>
    </w:p>
    <w:p w14:paraId="554DDFE5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Data Engine carga +50 KPIs: precio, ATR, volatilidad, proyecciones macro, tendencias.</w:t>
      </w:r>
    </w:p>
    <w:p w14:paraId="137D2084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Oscillator Engine calcula NetBrute, Intenciones y Momentum con datos actualizados.</w:t>
      </w:r>
    </w:p>
    <w:p w14:paraId="17AECBBD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Dashboard renderiza KPIs en menos de 3 segundos (requisito explícito del documento).</w:t>
      </w:r>
    </w:p>
    <w:p w14:paraId="709ED0BB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AI Assistant recibe contexto restringido al activo cargado.</w:t>
      </w:r>
    </w:p>
    <w:p w14:paraId="3CD17DA6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WebSocket mantiene actualización continua de precio y osciladores.</w:t>
      </w:r>
    </w:p>
    <w:p w14:paraId="5C81CAD9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6.2 Flujo: Generar Estrategia Profesional</w:t>
      </w:r>
    </w:p>
    <w:p w14:paraId="7DCBADD4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Usuario navega a Constructor de Estrategias con activo cargado.</w:t>
      </w:r>
    </w:p>
    <w:p w14:paraId="589634AB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Introduce parámetros: capital total, porcentaje de riesgo (default 1%), dirección (long/short).</w:t>
      </w:r>
    </w:p>
    <w:p w14:paraId="11887441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Strategy Builder calcula: entrada (precio actual), stop loss dinámico (2.5x ATR), TP escalonados.</w:t>
      </w:r>
    </w:p>
    <w:p w14:paraId="37066928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Risk Manager computa: tamaño de posición = (capital * riesgo%) / stop_distance.</w:t>
      </w:r>
    </w:p>
    <w:p w14:paraId="749C145D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Se evalua confluencia: NetBrute + Intenciones + Proyección Macro (0-3 señales).</w:t>
      </w:r>
    </w:p>
    <w:p w14:paraId="6C592518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Se calcula esperanza matemática y ratio riesgo/beneficio.</w:t>
      </w:r>
    </w:p>
    <w:p w14:paraId="5210D58B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Resultado completo mostrado con checklist de verificación.</w:t>
      </w:r>
    </w:p>
    <w:p w14:paraId="26ACD5F3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6.3 Flujo: Consulta al Asistente IA</w:t>
      </w:r>
    </w:p>
    <w:p w14:paraId="15E6AE6F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Usuario escribe pregunta en el chat (ej: «Diseña estrategia de compra basada en NetBrute»).</w:t>
      </w:r>
    </w:p>
    <w:p w14:paraId="1E53E541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Sistema inyecta como contexto EXCLUSIVAMENTE los KPIs del activo cargado (no busca internet).</w:t>
      </w:r>
    </w:p>
    <w:p w14:paraId="605583C4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LLM procesa con prompt especializado en análisis cuantitativo.</w:t>
      </w:r>
    </w:p>
    <w:p w14:paraId="30C544B3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Respuesta incluye datos específicos: valores exactos de osciladores, ATR, volatilidad.</w:t>
      </w:r>
    </w:p>
    <w:p w14:paraId="34CB4E09">
      <w:pPr>
        <w:pStyle w:val="16"/>
        <w:numPr>
          <w:ilvl w:val="0"/>
          <w:numId w:val="2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Si la pregunta es ambigua, el asistente solicita mayor especificidad (advertencia explícita del documento).</w:t>
      </w:r>
    </w:p>
    <w:p w14:paraId="70A8451A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6.4 Casos de Borde Identificados</w:t>
      </w:r>
    </w:p>
    <w:p w14:paraId="41C68ADF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Divergencia de tendencias: </w:t>
      </w:r>
      <w:r>
        <w:rPr>
          <w:rFonts w:ascii="Arial" w:hAnsi="Arial" w:eastAsia="Arial" w:cs="Arial"/>
          <w:color w:val="1E293B"/>
          <w:sz w:val="21"/>
          <w:szCs w:val="21"/>
        </w:rPr>
        <w:t>El sistema detecta cuando tendencia a 200d difiere de 50d (caso Ethereum) y recomienda esperar confirmación.</w:t>
      </w:r>
    </w:p>
    <w:p w14:paraId="76797246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Confianza &lt; 60%: </w:t>
      </w:r>
      <w:r>
        <w:rPr>
          <w:rFonts w:ascii="Arial" w:hAnsi="Arial" w:eastAsia="Arial" w:cs="Arial"/>
          <w:color w:val="1E293B"/>
          <w:sz w:val="21"/>
          <w:szCs w:val="21"/>
        </w:rPr>
        <w:t>El checklist marca fallo y recomienda buscar confirmación adicional en otros KPIs.</w:t>
      </w:r>
    </w:p>
    <w:p w14:paraId="3D97A937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Volatilidad extrema: </w:t>
      </w:r>
      <w:r>
        <w:rPr>
          <w:rFonts w:ascii="Arial" w:hAnsi="Arial" w:eastAsia="Arial" w:cs="Arial"/>
          <w:color w:val="1E293B"/>
          <w:sz w:val="21"/>
          <w:szCs w:val="21"/>
        </w:rPr>
        <w:t>ATR se dispara; el sistema ajusta automáticamente stops y reduce tamaño de posición.</w:t>
      </w:r>
    </w:p>
    <w:p w14:paraId="79A7FAAD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Solicitud de comparar activos: </w:t>
      </w:r>
      <w:r>
        <w:rPr>
          <w:rFonts w:ascii="Arial" w:hAnsi="Arial" w:eastAsia="Arial" w:cs="Arial"/>
          <w:color w:val="1E293B"/>
          <w:sz w:val="21"/>
          <w:szCs w:val="21"/>
        </w:rPr>
        <w:t>El sistema rechaza explícitamente la comparación (solo analiza el activo cargado).</w:t>
      </w:r>
    </w:p>
    <w:p w14:paraId="6179100D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Pregunta ambigua al asistente: </w:t>
      </w:r>
      <w:r>
        <w:rPr>
          <w:rFonts w:ascii="Arial" w:hAnsi="Arial" w:eastAsia="Arial" w:cs="Arial"/>
          <w:color w:val="1E293B"/>
          <w:sz w:val="21"/>
          <w:szCs w:val="21"/>
        </w:rPr>
        <w:t>Respuesta genérica con sugerencias de cómo formular mejores preguntas.</w:t>
      </w:r>
    </w:p>
    <w:p w14:paraId="309804F5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Capital insuficiente: </w:t>
      </w:r>
      <w:r>
        <w:rPr>
          <w:rFonts w:ascii="Arial" w:hAnsi="Arial" w:eastAsia="Arial" w:cs="Arial"/>
          <w:color w:val="1E293B"/>
          <w:sz w:val="21"/>
          <w:szCs w:val="21"/>
        </w:rPr>
        <w:t>Si el cálculo de posición resulta en 0 acciones, el sistema alerta sobre capital insuficiente para el nivel de riesgo.</w:t>
      </w:r>
    </w:p>
    <w:p w14:paraId="049CE88B">
      <w:pPr>
        <w:pBdr>
          <w:bottom w:val="single" w:color="E2E8F0" w:sz="2" w:space="1"/>
        </w:pBdr>
        <w:spacing w:before="200" w:after="200"/>
      </w:pPr>
    </w:p>
    <w:p w14:paraId="4C49648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7. Requisitos No Funcionales</w:t>
      </w:r>
    </w:p>
    <w:p w14:paraId="08F49A5D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7.1 Escalabilidad</w:t>
      </w:r>
    </w:p>
    <w:p w14:paraId="3B676332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Horizontal scaling del Data Engine durante horas pico de mercado (apertura NYSE, cierre europeo, 24/7 crypto).</w:t>
      </w:r>
    </w:p>
    <w:p w14:paraId="76F78E7D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Auto-scaling de pods del AI Assistant basado en cola de mensajes (GPU-bound).</w:t>
      </w:r>
    </w:p>
    <w:p w14:paraId="563E9121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Cache distribuido de KPIs: la misma consulta de AAPL por 10,000 usuarios sirve datos del mismo cache.</w:t>
      </w:r>
    </w:p>
    <w:p w14:paraId="3C67E50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Objetivo: soportar 50,000 usuarios concurrentes en peak con p99 latencia &lt; 500ms para KPIs.</w:t>
      </w:r>
    </w:p>
    <w:p w14:paraId="1FEDB916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7.2 Seguridad</w:t>
      </w:r>
    </w:p>
    <w:p w14:paraId="3CA896CE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Datos financieros: </w:t>
      </w:r>
      <w:r>
        <w:rPr>
          <w:rFonts w:ascii="Arial" w:hAnsi="Arial" w:eastAsia="Arial" w:cs="Arial"/>
          <w:color w:val="1E293B"/>
          <w:sz w:val="21"/>
          <w:szCs w:val="21"/>
        </w:rPr>
        <w:t>Encriptación en tránsito (TLS 1.3) y en reposo (AES-256). Los datos de osciladores propietarios son IP crítica.</w:t>
      </w:r>
    </w:p>
    <w:p w14:paraId="2E452B8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AI Sandboxing: </w:t>
      </w:r>
      <w:r>
        <w:rPr>
          <w:rFonts w:ascii="Arial" w:hAnsi="Arial" w:eastAsia="Arial" w:cs="Arial"/>
          <w:color w:val="1E293B"/>
          <w:sz w:val="21"/>
          <w:szCs w:val="21"/>
        </w:rPr>
        <w:t>El asistente IA opera en un sandbox sin acceso a red externa. Solo recibe KPIs pre-calculados como contexto.</w:t>
      </w:r>
    </w:p>
    <w:p w14:paraId="6010C732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Rate limiting: </w:t>
      </w:r>
      <w:r>
        <w:rPr>
          <w:rFonts w:ascii="Arial" w:hAnsi="Arial" w:eastAsia="Arial" w:cs="Arial"/>
          <w:color w:val="1E293B"/>
          <w:sz w:val="21"/>
          <w:szCs w:val="21"/>
        </w:rPr>
        <w:t>Por tier de suscripción. Anti-scraping de datos de osciladores propietarios.</w:t>
      </w:r>
    </w:p>
    <w:p w14:paraId="57A39A21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Compliance: </w:t>
      </w:r>
      <w:r>
        <w:rPr>
          <w:rFonts w:ascii="Arial" w:hAnsi="Arial" w:eastAsia="Arial" w:cs="Arial"/>
          <w:color w:val="1E293B"/>
          <w:sz w:val="21"/>
          <w:szCs w:val="21"/>
        </w:rPr>
        <w:t>GDPR para usuarios europeos. Disclaimer legal obligatorio: «No constituye asesoramiento financiero.»</w:t>
      </w:r>
    </w:p>
    <w:p w14:paraId="6BCAE3F4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Audit trail: </w:t>
      </w:r>
      <w:r>
        <w:rPr>
          <w:rFonts w:ascii="Arial" w:hAnsi="Arial" w:eastAsia="Arial" w:cs="Arial"/>
          <w:color w:val="1E293B"/>
          <w:sz w:val="21"/>
          <w:szCs w:val="21"/>
        </w:rPr>
        <w:t>Registro inmutable de todas las estrategias generadas y recomendaciones del asistente.</w:t>
      </w:r>
    </w:p>
    <w:p w14:paraId="54A5374E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7.3 Rendimiento</w:t>
      </w:r>
    </w:p>
    <w:p w14:paraId="358F6296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Carga de dashboard: </w:t>
      </w:r>
      <w:r>
        <w:rPr>
          <w:rFonts w:ascii="Arial" w:hAnsi="Arial" w:eastAsia="Arial" w:cs="Arial"/>
          <w:color w:val="1E293B"/>
          <w:sz w:val="21"/>
          <w:szCs w:val="21"/>
        </w:rPr>
        <w:t>&lt; 3 segundos (explícitamente mencionado en el documento fuente).</w:t>
      </w:r>
    </w:p>
    <w:p w14:paraId="1B38387E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Cálculo de estrategia: </w:t>
      </w:r>
      <w:r>
        <w:rPr>
          <w:rFonts w:ascii="Arial" w:hAnsi="Arial" w:eastAsia="Arial" w:cs="Arial"/>
          <w:color w:val="1E293B"/>
          <w:sz w:val="21"/>
          <w:szCs w:val="21"/>
        </w:rPr>
        <w:t>&lt; 500ms para computar entrada, stops, TPs y position sizing.</w:t>
      </w:r>
    </w:p>
    <w:p w14:paraId="03FC21CA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Respuesta del asistente IA: </w:t>
      </w:r>
      <w:r>
        <w:rPr>
          <w:rFonts w:ascii="Arial" w:hAnsi="Arial" w:eastAsia="Arial" w:cs="Arial"/>
          <w:color w:val="1E293B"/>
          <w:sz w:val="21"/>
          <w:szCs w:val="21"/>
        </w:rPr>
        <w:t>First token &lt; 1s, respuesta completa &lt; 8s (streaming).</w:t>
      </w:r>
    </w:p>
    <w:p w14:paraId="1EA71B4A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Actualización de osciladores: </w:t>
      </w:r>
      <w:r>
        <w:rPr>
          <w:rFonts w:ascii="Arial" w:hAnsi="Arial" w:eastAsia="Arial" w:cs="Arial"/>
          <w:color w:val="1E293B"/>
          <w:sz w:val="21"/>
          <w:szCs w:val="21"/>
        </w:rPr>
        <w:t>Recalculado en &lt; 200ms tras cambio de precio.</w:t>
      </w:r>
    </w:p>
    <w:p w14:paraId="4598E3FF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WebSocket heartbeat: </w:t>
      </w:r>
      <w:r>
        <w:rPr>
          <w:rFonts w:ascii="Arial" w:hAnsi="Arial" w:eastAsia="Arial" w:cs="Arial"/>
          <w:color w:val="1E293B"/>
          <w:sz w:val="21"/>
          <w:szCs w:val="21"/>
        </w:rPr>
        <w:t>&lt; 100ms de latencia para precios en tiempo real.</w:t>
      </w:r>
    </w:p>
    <w:p w14:paraId="01A9105A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7.4 Usabilidad</w:t>
      </w:r>
    </w:p>
    <w:p w14:paraId="5BA3FDDD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Dashboard dark theme (estándar de la industria trading). Sin opción light theme en MVP.</w:t>
      </w:r>
    </w:p>
    <w:p w14:paraId="68952EC3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Un solo activo cargado simultáneamente (restricción de diseño explícita que simplifica UX).</w:t>
      </w:r>
    </w:p>
    <w:p w14:paraId="60362E49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KPIs organizados jerárquicamente: resumen → osciladores → tendencias → volatilidad.</w:t>
      </w:r>
    </w:p>
    <w:p w14:paraId="69540931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Checklist visual con indicadores de semáforo (verde/rojo) para decisión rápida.</w:t>
      </w:r>
    </w:p>
    <w:p w14:paraId="4219203A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color w:val="1E293B"/>
          <w:sz w:val="21"/>
          <w:szCs w:val="21"/>
        </w:rPr>
        <w:t>Asistente con sugerencias de prompts para guiar al usuario hacia preguntas específicas.</w:t>
      </w:r>
    </w:p>
    <w:p w14:paraId="658B9860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7.5 Disponibilidad</w:t>
      </w:r>
    </w:p>
    <w:p w14:paraId="77E553E1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SLA objetivo: </w:t>
      </w:r>
      <w:r>
        <w:rPr>
          <w:rFonts w:ascii="Arial" w:hAnsi="Arial" w:eastAsia="Arial" w:cs="Arial"/>
          <w:color w:val="1E293B"/>
          <w:sz w:val="21"/>
          <w:szCs w:val="21"/>
        </w:rPr>
        <w:t>99.9% durante horas de mercado (NYSE: L-V 9:30-16:00 ET). 99.5% fuera de horario.</w:t>
      </w:r>
    </w:p>
    <w:p w14:paraId="5BE510F8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Crypto 24/7: </w:t>
      </w:r>
      <w:r>
        <w:rPr>
          <w:rFonts w:ascii="Arial" w:hAnsi="Arial" w:eastAsia="Arial" w:cs="Arial"/>
          <w:color w:val="1E293B"/>
          <w:sz w:val="21"/>
          <w:szCs w:val="21"/>
        </w:rPr>
        <w:t>Los activos crypto requieren disponibilidad continua. Se toleran ventanas de mantenimiento de &lt; 5 min entre 02:00-04:00 UTC (menor volumen).</w:t>
      </w:r>
    </w:p>
    <w:p w14:paraId="4CB2BA1C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Graceful degradation: </w:t>
      </w:r>
      <w:r>
        <w:rPr>
          <w:rFonts w:ascii="Arial" w:hAnsi="Arial" w:eastAsia="Arial" w:cs="Arial"/>
          <w:color w:val="1E293B"/>
          <w:sz w:val="21"/>
          <w:szCs w:val="21"/>
        </w:rPr>
        <w:t>Si el Data Engine falla, mostrar últimos KPIs conocidos con timestamp y alerta visual.</w:t>
      </w:r>
    </w:p>
    <w:p w14:paraId="1EA0AB6E">
      <w:pPr>
        <w:pBdr>
          <w:bottom w:val="single" w:color="E2E8F0" w:sz="2" w:space="1"/>
        </w:pBdr>
        <w:spacing w:before="200" w:after="200"/>
      </w:pPr>
    </w:p>
    <w:p w14:paraId="4880F4B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>8. Recomendaciones Estratégicas</w:t>
      </w:r>
    </w:p>
    <w:p w14:paraId="3C32096A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8.1 Mejoras Futuras Priorizadas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200"/>
        <w:gridCol w:w="2200"/>
        <w:gridCol w:w="2120"/>
      </w:tblGrid>
      <w:tr w14:paraId="47AD5DC6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2E8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Prio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C1D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Mejora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F6E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9A2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Esfuerzo</w:t>
            </w:r>
          </w:p>
        </w:tc>
      </w:tr>
      <w:tr w14:paraId="1508EBCF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0BF7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P0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69A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Backtesting histórico: validar estrategias generadas contra datos pasados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9B34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CRÍTICO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277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3-4 sprints</w:t>
            </w:r>
          </w:p>
        </w:tc>
      </w:tr>
      <w:tr w14:paraId="1172765A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E8F8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P1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6FE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Alertas push cuando osciladores cruzan umbrales configurados por el usuario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C5A4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BE6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 sprints</w:t>
            </w:r>
          </w:p>
        </w:tc>
      </w:tr>
      <w:tr w14:paraId="5476E051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2A98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P1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CD7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Portfolio view: visualizar múltiples activos con correlación y exposición sectorial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BD79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ALTO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071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4 sprints</w:t>
            </w:r>
          </w:p>
        </w:tc>
      </w:tr>
      <w:tr w14:paraId="2C678452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9EFF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P2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DD1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Journal de trading: registro automático de operaciones con análisis post-mortem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83E9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MEDIO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1194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2 sprints</w:t>
            </w:r>
          </w:p>
        </w:tc>
      </w:tr>
      <w:tr w14:paraId="36DCFDD9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89D5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P2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C50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Simulador de escenarios: Monte Carlo para probabilidad de ruina según parámetros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7996"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MEDIO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AF7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3 sprints</w:t>
            </w:r>
          </w:p>
        </w:tc>
      </w:tr>
      <w:tr w14:paraId="7CE29889"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E4F5"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>P3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B0D6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API para brokers: integración con Interactive Brokers, Binance para ejecución directa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FA0A"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>ALTO</w:t>
            </w:r>
          </w:p>
        </w:tc>
        <w:tc>
          <w:tcPr>
            <w:tcW w:w="2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40E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6+ sprints</w:t>
            </w:r>
          </w:p>
        </w:tc>
      </w:tr>
    </w:tbl>
    <w:p w14:paraId="5D431A9A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8.2 Riesgos Técnicos Identificados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200"/>
        <w:gridCol w:w="4320"/>
      </w:tblGrid>
      <w:tr w14:paraId="1BDF1268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21A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3C2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9FC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14:paraId="74CE43CE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C6E4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Drift de osciladores propietarios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24D9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ALTA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365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Recalibración trimestral automática + monitoring de precisión continuo</w:t>
            </w:r>
          </w:p>
        </w:tc>
      </w:tr>
      <w:tr w14:paraId="325BC681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2AA2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Dependencia de proveedores de datos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4AD9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MEDIA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2A5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Multi-provider con failover automático (Polygon → Alpha Vantage → Yahoo)</w:t>
            </w:r>
          </w:p>
        </w:tc>
      </w:tr>
      <w:tr w14:paraId="7A05338B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274C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Alucinación del asistente IA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9639D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MEDIA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F42A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Sandbox estricto: solo KPIs como input. Validación de que la respuesta cita datos reales</w:t>
            </w:r>
          </w:p>
        </w:tc>
      </w:tr>
      <w:tr w14:paraId="15CAFF8A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F269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Latencia en horas pico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C895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ALTA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82F3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Pre-computing de KPIs, cache agresivo en Redis, CDN para assets</w:t>
            </w:r>
          </w:p>
        </w:tc>
      </w:tr>
      <w:tr w14:paraId="579E3C99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9DD8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Riesgo regulatorio (consejo financiero)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1790"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ALTA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B442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Disclaimers legales, clasificación como «herramienta informativa», no «asesor»</w:t>
            </w:r>
          </w:p>
        </w:tc>
      </w:tr>
      <w:tr w14:paraId="7553A837"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15DC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Scraping de algoritmos propietarios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42E3"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MEDIA</w:t>
            </w:r>
          </w:p>
        </w:tc>
        <w:tc>
          <w:tcPr>
            <w:tcW w:w="43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E297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Rate limiting agresivo, ofuscación de respuestas API, watermarking de datos</w:t>
            </w:r>
          </w:p>
        </w:tc>
      </w:tr>
    </w:tbl>
    <w:p w14:paraId="4A0A1439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8.3 Deuda Técnica Potencial</w:t>
      </w:r>
    </w:p>
    <w:p w14:paraId="5959BD2F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Restricción de activo único: </w:t>
      </w:r>
      <w:r>
        <w:rPr>
          <w:rFonts w:ascii="Arial" w:hAnsi="Arial" w:eastAsia="Arial" w:cs="Arial"/>
          <w:color w:val="1E293B"/>
          <w:sz w:val="21"/>
          <w:szCs w:val="21"/>
        </w:rPr>
        <w:t>Si se implementa como constraint fuerte en toda la arquitectura, migrar a multi-activo requerirá refactorización significativa. Recomendación: diseñar internamente para multi-activo desde el día uno, pero restringir en la UI.</w:t>
      </w:r>
    </w:p>
    <w:p w14:paraId="7B913C23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Osciladores acoplados al Data Engine: </w:t>
      </w:r>
      <w:r>
        <w:rPr>
          <w:rFonts w:ascii="Arial" w:hAnsi="Arial" w:eastAsia="Arial" w:cs="Arial"/>
          <w:color w:val="1E293B"/>
          <w:sz w:val="21"/>
          <w:szCs w:val="21"/>
        </w:rPr>
        <w:t>Si NetBrute e Intenciones se calculan dentro del mismo servicio que ingesta datos, desacoplarlos posteriormente será costoso. Recomendación: microservicio separado desde el inicio.</w:t>
      </w:r>
    </w:p>
    <w:p w14:paraId="0A9CEA75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AI Assistant sin evaluación sistemática: </w:t>
      </w:r>
      <w:r>
        <w:rPr>
          <w:rFonts w:ascii="Arial" w:hAnsi="Arial" w:eastAsia="Arial" w:cs="Arial"/>
          <w:color w:val="1E293B"/>
          <w:sz w:val="21"/>
          <w:szCs w:val="21"/>
        </w:rPr>
        <w:t>Sin un framework de evaluación (evals) de respuestas del asistente, la calidad puede degradarse sin ser detectada. Recomendación: implementar evals automatizados desde MVP.</w:t>
      </w:r>
    </w:p>
    <w:p w14:paraId="76919911">
      <w:pPr>
        <w:pStyle w:val="16"/>
        <w:numPr>
          <w:ilvl w:val="0"/>
          <w:numId w:val="1"/>
        </w:numPr>
        <w:spacing w:before="40" w:after="40" w:line="260" w:lineRule="auto"/>
      </w:pPr>
      <w:r>
        <w:rPr>
          <w:rFonts w:ascii="Arial" w:hAnsi="Arial" w:eastAsia="Arial" w:cs="Arial"/>
          <w:b/>
          <w:bCs/>
          <w:color w:val="1E293B"/>
          <w:sz w:val="21"/>
          <w:szCs w:val="21"/>
        </w:rPr>
        <w:t xml:space="preserve">Ausencia de backtesting: </w:t>
      </w:r>
      <w:r>
        <w:rPr>
          <w:rFonts w:ascii="Arial" w:hAnsi="Arial" w:eastAsia="Arial" w:cs="Arial"/>
          <w:color w:val="1E293B"/>
          <w:sz w:val="21"/>
          <w:szCs w:val="21"/>
        </w:rPr>
        <w:t>Generar estrategias sin validación histórica reduce la credibilidad del sistema. Es la mejora P0 más urgente.</w:t>
      </w:r>
    </w:p>
    <w:p w14:paraId="6AF79CA4">
      <w:pPr>
        <w:pStyle w:val="3"/>
        <w:spacing w:before="240" w:after="180"/>
      </w:pPr>
      <w:r>
        <w:rPr>
          <w:rFonts w:ascii="Arial" w:hAnsi="Arial" w:eastAsia="Arial" w:cs="Arial"/>
          <w:b/>
          <w:bCs/>
          <w:color w:val="0891B2"/>
          <w:sz w:val="26"/>
          <w:szCs w:val="26"/>
        </w:rPr>
        <w:t>8.4 Arquitecturas Alternativas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720"/>
      </w:tblGrid>
      <w:tr w14:paraId="2F91909F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A30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06B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Arquitectura</w:t>
            </w:r>
          </w:p>
        </w:tc>
        <w:tc>
          <w:tcPr>
            <w:tcW w:w="3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E01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</w:tr>
      <w:tr w14:paraId="5D3B5141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3684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Startup bootstrap (bajo presupuesto)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5F9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Monolito modular con Next.js + Supabase + Python sidecar</w:t>
            </w:r>
          </w:p>
        </w:tc>
        <w:tc>
          <w:tcPr>
            <w:tcW w:w="3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E74E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Rápido de lanzar. Difícil de escalar osciladores independientemente</w:t>
            </w:r>
          </w:p>
        </w:tc>
      </w:tr>
      <w:tr w14:paraId="28126C75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1AC2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Escala institucional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95A5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Microservicios + Kafka + Kubernetes + GPU cluster para IA</w:t>
            </w:r>
          </w:p>
        </w:tc>
        <w:tc>
          <w:tcPr>
            <w:tcW w:w="3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535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Máximo rendimiento y escalabilidad. Alto costo de infraestructura y equipo</w:t>
            </w:r>
          </w:p>
        </w:tc>
      </w:tr>
      <w:tr w14:paraId="70E9485D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D598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Serverless-first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F7E41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Vercel + AWS Lambda + DynamoDB + Bedrock</w:t>
            </w:r>
          </w:p>
        </w:tc>
        <w:tc>
          <w:tcPr>
            <w:tcW w:w="3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696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Cero gestión de infra. Cold starts problemáticos para WebSocket real-time</w:t>
            </w:r>
          </w:p>
        </w:tc>
      </w:tr>
      <w:tr w14:paraId="23B2D3F3"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E438">
            <w:r>
              <w:rPr>
                <w:rFonts w:ascii="Arial" w:hAnsi="Arial" w:eastAsia="Arial" w:cs="Arial"/>
                <w:b/>
                <w:bCs/>
                <w:color w:val="1E293B"/>
                <w:sz w:val="19"/>
                <w:szCs w:val="19"/>
              </w:rPr>
              <w:t>Híbrido (recomendado)</w:t>
            </w:r>
          </w:p>
        </w:tc>
        <w:tc>
          <w:tcPr>
            <w:tcW w:w="3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FC2C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Next.js en Vercel + backend Python en ECS/EKS + Redis + PostgreSQL managed</w:t>
            </w:r>
          </w:p>
        </w:tc>
        <w:tc>
          <w:tcPr>
            <w:tcW w:w="37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77D8">
            <w:r>
              <w:rPr>
                <w:rFonts w:ascii="Arial" w:hAnsi="Arial" w:eastAsia="Arial" w:cs="Arial"/>
                <w:b w:val="0"/>
                <w:bCs w:val="0"/>
                <w:color w:val="1E293B"/>
                <w:sz w:val="19"/>
                <w:szCs w:val="19"/>
              </w:rPr>
              <w:t>Balance óptimo: frontend managed, backend escalable, costos controlados</w:t>
            </w:r>
          </w:p>
        </w:tc>
      </w:tr>
    </w:tbl>
    <w:p w14:paraId="21EF3D0E">
      <w:pPr>
        <w:spacing w:before="200" w:after="0"/>
      </w:pPr>
    </w:p>
    <w:p w14:paraId="13251159">
      <w:pPr>
        <w:pBdr>
          <w:bottom w:val="single" w:color="E2E8F0" w:sz="2" w:space="1"/>
        </w:pBdr>
        <w:spacing w:before="200" w:after="200"/>
      </w:pPr>
    </w:p>
    <w:p w14:paraId="2F5B8FF5">
      <w:pPr>
        <w:spacing w:before="80" w:after="0"/>
      </w:pPr>
    </w:p>
    <w:p w14:paraId="7BC476A2">
      <w:pPr>
        <w:spacing w:before="120" w:after="60"/>
        <w:jc w:val="center"/>
      </w:pPr>
      <w:r>
        <w:rPr>
          <w:rFonts w:ascii="Arial" w:hAnsi="Arial" w:eastAsia="Arial" w:cs="Arial"/>
          <w:i/>
          <w:iCs/>
          <w:color w:val="94A3B8"/>
          <w:sz w:val="22"/>
          <w:szCs w:val="22"/>
        </w:rPr>
        <w:t>Fin del Documento</w:t>
      </w:r>
    </w:p>
    <w:p w14:paraId="7BF8922D">
      <w:pPr>
        <w:jc w:val="center"/>
      </w:pPr>
      <w:r>
        <w:rPr>
          <w:rFonts w:ascii="Arial" w:hAnsi="Arial" w:eastAsia="Arial" w:cs="Arial"/>
          <w:b/>
          <w:bCs/>
          <w:color w:val="22D3EE"/>
          <w:sz w:val="18"/>
          <w:szCs w:val="18"/>
        </w:rPr>
        <w:t xml:space="preserve">ORION ONE </w:t>
      </w:r>
      <w:r>
        <w:rPr>
          <w:rFonts w:ascii="Arial" w:hAnsi="Arial" w:eastAsia="Arial" w:cs="Arial"/>
          <w:color w:val="94A3B8"/>
          <w:sz w:val="18"/>
          <w:szCs w:val="18"/>
        </w:rPr>
        <w:t>| Documentación Técnica v1.0 | Abril 2026</w:t>
      </w: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E5033">
    <w:pPr>
      <w:pBdr>
        <w:top w:val="single" w:color="E2E8F0" w:sz="2" w:space="4"/>
      </w:pBdr>
      <w:tabs>
        <w:tab w:val="right" w:pos="9026"/>
      </w:tabs>
    </w:pPr>
    <w:r>
      <w:rPr>
        <w:rFonts w:ascii="Arial" w:hAnsi="Arial" w:eastAsia="Arial" w:cs="Arial"/>
        <w:color w:val="94A3B8"/>
        <w:sz w:val="16"/>
        <w:szCs w:val="16"/>
      </w:rPr>
      <w:t>Confidencial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color w:val="94A3B8"/>
        <w:sz w:val="16"/>
        <w:szCs w:val="16"/>
      </w:rPr>
      <w:t xml:space="preserve">Página </w:t>
    </w:r>
    <w:r>
      <w:rPr>
        <w:rFonts w:ascii="Arial" w:hAnsi="Arial" w:eastAsia="Arial" w:cs="Arial"/>
        <w:b/>
        <w:bCs/>
        <w:color w:val="22D3EE"/>
        <w:sz w:val="16"/>
        <w:szCs w:val="16"/>
      </w:rPr>
      <w:fldChar w:fldCharType="begin"/>
    </w:r>
    <w:r>
      <w:rPr>
        <w:rFonts w:ascii="Arial" w:hAnsi="Arial" w:eastAsia="Arial" w:cs="Arial"/>
        <w:b/>
        <w:bCs/>
        <w:color w:val="22D3EE"/>
        <w:sz w:val="16"/>
        <w:szCs w:val="16"/>
      </w:rPr>
      <w:instrText xml:space="preserve">PAGE</w:instrText>
    </w:r>
    <w:r>
      <w:rPr>
        <w:rFonts w:ascii="Arial" w:hAnsi="Arial" w:eastAsia="Arial" w:cs="Arial"/>
        <w:b/>
        <w:bCs/>
        <w:color w:val="22D3EE"/>
        <w:sz w:val="16"/>
        <w:szCs w:val="16"/>
      </w:rPr>
      <w:fldChar w:fldCharType="separate"/>
    </w:r>
    <w:r>
      <w:rPr>
        <w:rFonts w:ascii="Arial" w:hAnsi="Arial" w:eastAsia="Arial" w:cs="Arial"/>
        <w:b/>
        <w:bCs/>
        <w:color w:val="22D3E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5D0A9">
    <w:pPr>
      <w:pBdr>
        <w:bottom w:val="single" w:color="22D3EE" w:sz="2" w:space="4"/>
      </w:pBdr>
      <w:spacing w:after="0"/>
    </w:pPr>
    <w:r>
      <w:rPr>
        <w:rFonts w:ascii="Arial" w:hAnsi="Arial" w:eastAsia="Arial" w:cs="Arial"/>
        <w:b/>
        <w:bCs/>
        <w:color w:val="22D3EE"/>
        <w:sz w:val="16"/>
        <w:szCs w:val="16"/>
      </w:rPr>
      <w:t xml:space="preserve">ORION ONE </w:t>
    </w:r>
    <w:r>
      <w:rPr>
        <w:rFonts w:ascii="Arial" w:hAnsi="Arial" w:eastAsia="Arial" w:cs="Arial"/>
        <w:color w:val="94A3B8"/>
        <w:sz w:val="16"/>
        <w:szCs w:val="16"/>
      </w:rPr>
      <w:t>| Documentación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F2B4F"/>
    <w:multiLevelType w:val="multilevel"/>
    <w:tmpl w:val="EBBF2B4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FFE8885B"/>
    <w:multiLevelType w:val="multilevel"/>
    <w:tmpl w:val="FFE8885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BE5B3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E293B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0A1628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Arial" w:hAnsi="Arial" w:eastAsia="Arial" w:cs="Arial"/>
      <w:b/>
      <w:bCs/>
      <w:color w:val="0891B2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Arial" w:hAnsi="Arial" w:eastAsia="Arial" w:cs="Arial"/>
      <w:b/>
      <w:bCs/>
      <w:color w:val="8B5CF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E293B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E293B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color w:val="1E293B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E293B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RESERVAS</cp:lastModifiedBy>
  <dcterms:modified xsi:type="dcterms:W3CDTF">2026-04-01T06:58:35Z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3082-12.1.23155.23155</vt:lpwstr>
  </property>
  <property fmtid="{D5CDD505-2E9C-101B-9397-08002B2CF9AE}" pid="3" name="ICV">
    <vt:lpwstr>874F1AF2573435FE4BECCC695A54396B_42</vt:lpwstr>
  </property>
</Properties>
</file>