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E3F9F" w14:textId="2CAC1E3D" w:rsidR="00ED53BC" w:rsidRDefault="00ED53BC" w:rsidP="004448BE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bCs/>
          <w:i/>
          <w:iCs/>
          <w:sz w:val="40"/>
          <w:szCs w:val="40"/>
          <w:u w:val="single"/>
          <w:lang w:val="cs-CZ"/>
        </w:rPr>
      </w:pPr>
      <w:r w:rsidRPr="004448BE">
        <w:rPr>
          <w:rFonts w:ascii="Times New Roman" w:hAnsi="Times New Roman"/>
          <w:b/>
          <w:bCs/>
          <w:i/>
          <w:iCs/>
          <w:sz w:val="40"/>
          <w:szCs w:val="40"/>
          <w:u w:val="single"/>
          <w:lang w:val="cs-CZ"/>
        </w:rPr>
        <w:t>Projekt z</w:t>
      </w:r>
      <w:r w:rsidR="004448BE">
        <w:rPr>
          <w:rFonts w:ascii="Times New Roman" w:hAnsi="Times New Roman"/>
          <w:b/>
          <w:bCs/>
          <w:i/>
          <w:iCs/>
          <w:sz w:val="40"/>
          <w:szCs w:val="40"/>
          <w:u w:val="single"/>
          <w:lang w:val="cs-CZ"/>
        </w:rPr>
        <w:t> </w:t>
      </w:r>
      <w:r w:rsidRPr="004448BE">
        <w:rPr>
          <w:rFonts w:ascii="Times New Roman" w:hAnsi="Times New Roman"/>
          <w:b/>
          <w:bCs/>
          <w:i/>
          <w:iCs/>
          <w:sz w:val="40"/>
          <w:szCs w:val="40"/>
          <w:u w:val="single"/>
          <w:lang w:val="cs-CZ"/>
        </w:rPr>
        <w:t>SQL</w:t>
      </w:r>
    </w:p>
    <w:p w14:paraId="6D9003E9" w14:textId="77777777" w:rsidR="004448BE" w:rsidRPr="004448BE" w:rsidRDefault="004448BE" w:rsidP="004448BE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bCs/>
          <w:i/>
          <w:iCs/>
          <w:sz w:val="40"/>
          <w:szCs w:val="40"/>
          <w:u w:val="single"/>
          <w:lang w:val="cs-CZ"/>
        </w:rPr>
      </w:pPr>
    </w:p>
    <w:p w14:paraId="5AFE638D" w14:textId="5CB3D362" w:rsidR="00321F15" w:rsidRPr="008D3F90" w:rsidRDefault="00321F15" w:rsidP="008D3F90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Na základě </w:t>
      </w:r>
      <w:r w:rsidR="00DB036B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zadání</w:t>
      </w: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jsem připravila analýzu, která</w:t>
      </w:r>
      <w:r w:rsidR="00B45812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odpovídá na otázky týkající se vývoje cen, mezd a HDP.</w:t>
      </w: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B45812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Odpovědi na otázky </w:t>
      </w:r>
      <w:r w:rsidR="00CE6F0D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jsem</w:t>
      </w: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získala vytvořením primární a sekundární tabulky </w:t>
      </w:r>
      <w:r w:rsidR="000C5214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 poté</w:t>
      </w:r>
      <w:r w:rsidR="00B45812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jsem využila SQL dotazy k</w:t>
      </w:r>
      <w:r w:rsidR="000C5214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 získání výsledků</w:t>
      </w:r>
      <w:r w:rsidR="00B45812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5E06A520" w14:textId="235AB443" w:rsidR="00321F15" w:rsidRPr="008D3F90" w:rsidRDefault="008E2D2F" w:rsidP="008D3F90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Primární tabulka obsahuje údaje o cenách různých produktů a mzdách v jednotlivých odvětvích za období 2006 až 2018, zatímco sekundární tabulka zobrazuje vývoj HDP, cen a mezd v letech 2006 až 2018</w:t>
      </w:r>
      <w:r w:rsidR="00BA758F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6824B9F4" w14:textId="535CD1F3" w:rsidR="00A11E6B" w:rsidRPr="008D3F90" w:rsidRDefault="00BA758F" w:rsidP="008D3F90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Výsledky </w:t>
      </w:r>
      <w:r w:rsidR="00DB036B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mi </w:t>
      </w: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umožnily odpovědět</w:t>
      </w:r>
      <w:r w:rsidR="00B53AF7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na</w:t>
      </w: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otázky ohledně meziročních změn v cenách, mzdách a HDP</w:t>
      </w:r>
      <w:r w:rsidR="00B53AF7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vlivu vývoje HDP na ceny a mzdy</w:t>
      </w:r>
      <w:r w:rsidR="00DB036B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  <w:r w:rsidR="00E9380A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347A9161" w14:textId="42165559" w:rsidR="00BA758F" w:rsidRPr="008D3F90" w:rsidRDefault="00B53AF7" w:rsidP="008D3F90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Abych mohla lépe komentovat výsledná data, prozkoumala jsem také další zdroje, které se zaměřují na ekonomické události v daném období</w:t>
      </w:r>
      <w:r w:rsidR="00A11E6B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3A3E8466" w14:textId="0D2DE1E6" w:rsidR="00BA758F" w:rsidRDefault="00BA758F" w:rsidP="00BA758F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i/>
          <w:iCs/>
          <w:lang w:val="cs-CZ"/>
        </w:rPr>
      </w:pPr>
      <w:r w:rsidRPr="00321F15">
        <w:rPr>
          <w:rFonts w:ascii="Times New Roman" w:hAnsi="Times New Roman"/>
          <w:i/>
          <w:iCs/>
          <w:lang w:val="cs-CZ"/>
        </w:rPr>
        <w:t>Níže jsou uvedeny konkrétní otázky</w:t>
      </w:r>
      <w:r w:rsidR="00E34464">
        <w:rPr>
          <w:rFonts w:ascii="Times New Roman" w:hAnsi="Times New Roman"/>
          <w:i/>
          <w:iCs/>
          <w:lang w:val="cs-CZ"/>
        </w:rPr>
        <w:t xml:space="preserve"> </w:t>
      </w:r>
      <w:r w:rsidR="00E90534">
        <w:rPr>
          <w:rFonts w:ascii="Times New Roman" w:hAnsi="Times New Roman"/>
          <w:i/>
          <w:iCs/>
          <w:lang w:val="cs-CZ"/>
        </w:rPr>
        <w:t>spolu s jejich odpověďmi</w:t>
      </w:r>
      <w:r w:rsidRPr="00627AFC">
        <w:rPr>
          <w:rFonts w:ascii="Times New Roman" w:hAnsi="Times New Roman"/>
          <w:i/>
          <w:iCs/>
          <w:lang w:val="cs-CZ"/>
        </w:rPr>
        <w:t>:</w:t>
      </w:r>
    </w:p>
    <w:p w14:paraId="78862191" w14:textId="77777777" w:rsidR="004448BE" w:rsidRPr="004448BE" w:rsidRDefault="004448BE" w:rsidP="004448BE">
      <w:pPr>
        <w:pStyle w:val="NoSpacing"/>
      </w:pPr>
    </w:p>
    <w:p w14:paraId="39A51EE2" w14:textId="661EF78C" w:rsidR="004D2EAF" w:rsidRPr="004448BE" w:rsidRDefault="00C32B33" w:rsidP="00ED53BC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4448BE">
        <w:rPr>
          <w:rFonts w:ascii="Times New Roman" w:hAnsi="Times New Roman"/>
          <w:b/>
          <w:bCs/>
          <w:i/>
          <w:iCs/>
          <w:szCs w:val="24"/>
          <w:lang w:val="cs-CZ"/>
        </w:rPr>
        <w:t>Rostou v průběhu let mzdy ve všech odvětvích, nebo v některých klesají?</w:t>
      </w:r>
    </w:p>
    <w:p w14:paraId="5D88DD92" w14:textId="77777777" w:rsidR="000C2E41" w:rsidRPr="000C2E41" w:rsidRDefault="000C2E41" w:rsidP="000C2E41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lang w:val="cs-CZ"/>
        </w:rPr>
      </w:pPr>
    </w:p>
    <w:p w14:paraId="0CBAC541" w14:textId="77777777" w:rsidR="000C2E41" w:rsidRPr="00DD58E0" w:rsidRDefault="000C2E41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DD58E0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</w:t>
      </w:r>
      <w:r w:rsidRPr="00DD58E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:</w:t>
      </w:r>
    </w:p>
    <w:p w14:paraId="04F667FC" w14:textId="0D7AAFAA" w:rsidR="005A7ACA" w:rsidRPr="000C2E41" w:rsidRDefault="00ED53BC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val="en-US" w:eastAsia="cs-CZ"/>
          <w14:ligatures w14:val="none"/>
        </w:rPr>
      </w:pPr>
      <w:r w:rsidRPr="00ED53B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Pro výpočet jsem využila funkci </w:t>
      </w:r>
      <w:r w:rsidRPr="00B53AF7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Pr="00ED53B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která mi umožnila porovnat mzdy mezi jednotlivými roky a spočítat procentní růst nebo pokles. Následně jsem vytvořila sloupec „</w:t>
      </w:r>
      <w:proofErr w:type="spellStart"/>
      <w:r w:rsidRPr="00ED53B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result</w:t>
      </w:r>
      <w:proofErr w:type="spellEnd"/>
      <w:r w:rsidRPr="00ED53B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“, díky němuž rychle zjistíme, ve kterém roce došlo k růstu, poklesu, nebo zda se mzdy ve srovnání s předchozím rokem nezměnily. Hodnocené období zahrnuje roky 2006 až 2018.</w:t>
      </w:r>
    </w:p>
    <w:p w14:paraId="7780804A" w14:textId="267D2E8E" w:rsidR="005A7ACA" w:rsidRPr="00DD58E0" w:rsidRDefault="000C2E41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DD58E0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30080386" w14:textId="77777777" w:rsidR="00FF0AA3" w:rsidRDefault="005A7ACA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5A7AC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Na základě výsledků lze konstatovat, že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dochází v průběhu let k různému </w:t>
      </w:r>
      <w:r w:rsid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procentnímu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růstu mezd ve všech odvětvích. J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ale období, </w:t>
      </w:r>
      <w:r w:rsid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</w:t>
      </w:r>
      <w:r w:rsidR="008E2D2F" w:rsidRP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dy mzdy výrazně klesly ve většině odvětví</w:t>
      </w:r>
      <w:r w:rsid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ch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a tím je rok je 2013. Tento pokles</w:t>
      </w:r>
      <w:r w:rsidR="00A11E6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byl způsoben recesí v roce 2012,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jejíž důsledky se projevily na mzdách až v následujícím roce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333ADB8A" w14:textId="1127D969" w:rsidR="00FF0AA3" w:rsidRDefault="00741DE3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Dále můžeme pozorovat značné výkyvy v odvětví Těžb</w:t>
      </w:r>
      <w:r w:rsidR="00A11E6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dobývání. Výkyvy v tomto odvětví jsou způsobeny poptávkou po</w:t>
      </w:r>
      <w:r w:rsidR="00104EA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E26BBB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surovinách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</w:t>
      </w:r>
      <w:r w:rsidR="00FC3FE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měn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ami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legislativních a environmentálních regulacích aj.</w:t>
      </w:r>
      <w:r w:rsid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57C1D7D8" w14:textId="76ED1F61" w:rsidR="00741DE3" w:rsidRDefault="00FF0AA3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Ještě</w:t>
      </w:r>
      <w:r w:rsidR="00C02064" w:rsidRP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si můžeme všimnout poklesu mezd v některých odvětvích v roce 2009</w:t>
      </w:r>
      <w:r w:rsidR="00DB036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tj. Ubytování, stravování a pohostinství, Těžba a dobývaní, </w:t>
      </w:r>
      <w:r w:rsidR="004A13D2" w:rsidRPr="004A13D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Zemědělství, lesnictví, rybářství</w:t>
      </w:r>
      <w:r w:rsidR="004A13D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</w:t>
      </w:r>
      <w:r w:rsid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Ubytování, stravování a </w:t>
      </w:r>
      <w:r w:rsidR="00E26BB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pohostinství</w:t>
      </w:r>
      <w:r w:rsidR="00404DB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</w:t>
      </w:r>
      <w:r w:rsidR="00C02064" w:rsidRP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což bylo způsobeno dopady globální finanční krize z roku </w:t>
      </w:r>
      <w:r w:rsidR="00BD3D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2007 a </w:t>
      </w:r>
      <w:r w:rsidR="00C02064" w:rsidRP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2008</w:t>
      </w:r>
      <w:r w:rsid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171EBCB6" w14:textId="77777777" w:rsidR="00C02064" w:rsidRDefault="00C02064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38998FDB" w14:textId="77777777" w:rsidR="00561914" w:rsidRDefault="00561914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275FEA38" w14:textId="648242D7" w:rsidR="003C6639" w:rsidRPr="004448BE" w:rsidRDefault="003C6639" w:rsidP="00561914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4448BE">
        <w:rPr>
          <w:rFonts w:ascii="Times New Roman" w:hAnsi="Times New Roman"/>
          <w:b/>
          <w:bCs/>
          <w:i/>
          <w:iCs/>
          <w:szCs w:val="24"/>
          <w:lang w:val="cs-CZ"/>
        </w:rPr>
        <w:lastRenderedPageBreak/>
        <w:t>Kolik je možné si koupit litrů mléka a kilogramů chleba za první a poslední srovnatelné období v dostupných datech cen a mezd?</w:t>
      </w:r>
    </w:p>
    <w:p w14:paraId="08A43A9F" w14:textId="77777777" w:rsidR="000C2E41" w:rsidRDefault="000C2E41" w:rsidP="000C2E41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lang w:val="cs-CZ"/>
        </w:rPr>
      </w:pPr>
    </w:p>
    <w:p w14:paraId="050290DE" w14:textId="77777777" w:rsidR="000C2E41" w:rsidRPr="00FF04C6" w:rsidRDefault="000C2E41" w:rsidP="00C32B3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Postup:</w:t>
      </w:r>
    </w:p>
    <w:p w14:paraId="71D90DB1" w14:textId="63453801" w:rsidR="00C32B33" w:rsidRPr="00FF04C6" w:rsidRDefault="00653882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Pro </w:t>
      </w:r>
      <w:r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vypočet jsme použila funkci </w:t>
      </w:r>
      <w:proofErr w:type="gramStart"/>
      <w:r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MIN(</w:t>
      </w:r>
      <w:proofErr w:type="spellStart"/>
      <w:proofErr w:type="gramEnd"/>
      <w:r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year</w:t>
      </w:r>
      <w:proofErr w:type="spellEnd"/>
      <w:r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) a MAX(</w:t>
      </w:r>
      <w:proofErr w:type="spellStart"/>
      <w:r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year</w:t>
      </w:r>
      <w:proofErr w:type="spellEnd"/>
      <w:r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), abych získala první a poslední rok srovnatelného období tj. rok 2006 a rok 2018. Dále jsem z</w:t>
      </w:r>
      <w:r w:rsidR="00DB036B"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celkových</w:t>
      </w:r>
      <w:r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 průměrných mezd a z průměrné cen </w:t>
      </w:r>
      <w:r w:rsidR="005A7ACA"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příslušné kategori</w:t>
      </w:r>
      <w:r w:rsidR="00DB036B"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</w:t>
      </w:r>
      <w:r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získala počet kilogramů chleba a litrů mléka</w:t>
      </w:r>
      <w:r w:rsidR="006D5ADD"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1C5C57FA" w14:textId="77777777" w:rsidR="00677515" w:rsidRDefault="000C2E41" w:rsidP="00C32B3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</w:pPr>
      <w:r w:rsidRPr="005D667D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</w:t>
      </w:r>
      <w:r w:rsidRPr="000C2E4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  <w:t>:</w:t>
      </w:r>
    </w:p>
    <w:p w14:paraId="527913BA" w14:textId="0AD43F66" w:rsidR="009E501E" w:rsidRPr="009E501E" w:rsidRDefault="009E501E" w:rsidP="009E501E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Na základě 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dat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můžeme zjistit, jak se změnily průměrné ceny, mzdy a dostupnost potravin mezi roky 2006 a 2018:</w:t>
      </w:r>
    </w:p>
    <w:p w14:paraId="09F6BA6A" w14:textId="77777777" w:rsidR="009E501E" w:rsidRPr="00793BC5" w:rsidRDefault="009E501E" w:rsidP="0092021D">
      <w:pPr>
        <w:numPr>
          <w:ilvl w:val="0"/>
          <w:numId w:val="10"/>
        </w:num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Chléb konzumní kmínový:</w:t>
      </w:r>
    </w:p>
    <w:p w14:paraId="00C902DA" w14:textId="58FA821C" w:rsidR="00B53AF7" w:rsidRPr="004448BE" w:rsidRDefault="00B53AF7" w:rsidP="004448BE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Cena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vzrostla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 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16,1</w:t>
      </w: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proofErr w:type="spellStart"/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Kč</w:t>
      </w:r>
      <w:proofErr w:type="spellEnd"/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roce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2006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na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24,2</w:t>
      </w: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proofErr w:type="spellStart"/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Kč</w:t>
      </w:r>
      <w:proofErr w:type="spellEnd"/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roce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2018</w:t>
      </w:r>
    </w:p>
    <w:p w14:paraId="71AE8C5F" w14:textId="40727A24" w:rsidR="009E501E" w:rsidRPr="004448BE" w:rsidRDefault="009E501E" w:rsidP="004448BE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Průměrná mzda se zvýšila z 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</w:t>
      </w:r>
      <w:r w:rsidR="006D5ADD"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0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="006D5ADD"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754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proofErr w:type="spellStart"/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Kč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roce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2006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na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3</w:t>
      </w:r>
      <w:r w:rsidR="006D5ADD"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="006D5ADD"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536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proofErr w:type="spellStart"/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Kč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roce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2018.</w:t>
      </w:r>
    </w:p>
    <w:p w14:paraId="504C1C03" w14:textId="0197D461" w:rsidR="009E501E" w:rsidRPr="004448BE" w:rsidRDefault="009E501E" w:rsidP="004448BE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 roce 2006</w:t>
      </w:r>
      <w:r w:rsidR="0092021D"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si </w:t>
      </w:r>
      <w:proofErr w:type="spellStart"/>
      <w:r w:rsidR="0092021D"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bylo</w:t>
      </w:r>
      <w:proofErr w:type="spellEnd"/>
      <w:r w:rsidR="0092021D"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možné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koupit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</w:t>
      </w:r>
      <w:r w:rsidR="00D4325D"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="006D5ADD"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287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kg</w:t>
      </w: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chleba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zatímco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roce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2018 to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bylo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</w:t>
      </w:r>
      <w:r w:rsidR="00D4325D"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3</w:t>
      </w:r>
      <w:r w:rsidR="006D5ADD"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42</w:t>
      </w:r>
      <w:r w:rsidRPr="004448B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kg</w:t>
      </w: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7743D754" w14:textId="77777777" w:rsidR="004448BE" w:rsidRPr="004448BE" w:rsidRDefault="004448BE" w:rsidP="004448BE">
      <w:pPr>
        <w:pStyle w:val="NoSpacing"/>
        <w:ind w:left="360"/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</w:pPr>
    </w:p>
    <w:p w14:paraId="12DB708A" w14:textId="77777777" w:rsidR="009E501E" w:rsidRPr="00793BC5" w:rsidRDefault="009E501E" w:rsidP="0092021D">
      <w:pPr>
        <w:numPr>
          <w:ilvl w:val="0"/>
          <w:numId w:val="10"/>
        </w:num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Mléko polotučné pasterované:</w:t>
      </w:r>
    </w:p>
    <w:p w14:paraId="0779229F" w14:textId="77777777" w:rsidR="009E501E" w:rsidRPr="00793BC5" w:rsidRDefault="009E501E" w:rsidP="0092021D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Cena vzrostla z </w:t>
      </w:r>
      <w:r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14,4 Kč</w:t>
      </w:r>
      <w:r w:rsidRP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19,8 Kč</w:t>
      </w:r>
      <w:r w:rsidRP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2018.</w:t>
      </w:r>
    </w:p>
    <w:p w14:paraId="364DE38E" w14:textId="77777777" w:rsidR="006D5ADD" w:rsidRPr="00793BC5" w:rsidRDefault="006D5ADD" w:rsidP="006D5ADD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Průměrná mzda se zvýšila z </w:t>
      </w:r>
      <w:r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20 754 Kč</w:t>
      </w:r>
      <w:r w:rsidRP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32 536 Kč</w:t>
      </w:r>
      <w:r w:rsidRP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2018.</w:t>
      </w:r>
    </w:p>
    <w:p w14:paraId="0DB7718B" w14:textId="170ECA8F" w:rsidR="009E501E" w:rsidRDefault="009E501E" w:rsidP="0092021D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roce 2006 </w:t>
      </w:r>
      <w:r w:rsidR="0092021D" w:rsidRP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si bylo </w:t>
      </w:r>
      <w:r w:rsidRP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možné koupit </w:t>
      </w:r>
      <w:r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</w:t>
      </w:r>
      <w:r w:rsidR="00D4325D"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4</w:t>
      </w:r>
      <w:r w:rsidR="006D5ADD"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37</w:t>
      </w:r>
      <w:r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litrů</w:t>
      </w:r>
      <w:r w:rsidRP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mléka, zatímco v roce 2018 to bylo </w:t>
      </w:r>
      <w:r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</w:t>
      </w:r>
      <w:r w:rsidR="00D4325D"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6</w:t>
      </w:r>
      <w:r w:rsidR="006D5ADD"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42</w:t>
      </w:r>
      <w:r w:rsidRPr="00793BC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litrů</w:t>
      </w:r>
      <w:r w:rsidRPr="00793BC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1EB9ADF8" w14:textId="77777777" w:rsidR="00D4325D" w:rsidRPr="009E501E" w:rsidRDefault="00D4325D" w:rsidP="004448BE">
      <w:pPr>
        <w:pStyle w:val="NoSpacing"/>
        <w:rPr>
          <w:rFonts w:eastAsia="Times New Roman"/>
          <w:lang w:eastAsia="cs-CZ"/>
        </w:rPr>
      </w:pPr>
    </w:p>
    <w:p w14:paraId="500D4563" w14:textId="329B4C8B" w:rsidR="00D20518" w:rsidRDefault="00A9708E" w:rsidP="00C32B33">
      <w:pPr>
        <w:rPr>
          <w:b/>
          <w:bCs/>
          <w:i/>
          <w:iCs/>
          <w:u w:val="single"/>
        </w:rPr>
      </w:pPr>
      <w:r w:rsidRPr="00A970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 údajů je vidět, jak se dostupnost těchto potravin měnila v závislosti na cenách a mzdách.</w:t>
      </w:r>
    </w:p>
    <w:p w14:paraId="13B83D26" w14:textId="2A4FCF39" w:rsidR="00677675" w:rsidRDefault="00880E32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880E3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 tabulky je patrné, že v roce 2018 si lidé mohli koupit více chleba a mléka než v roce 2006. Tento vývoj souvisí s nárůstem kupní síly v průběhu sledovaného období.</w:t>
      </w:r>
    </w:p>
    <w:p w14:paraId="212EB780" w14:textId="77777777" w:rsidR="00880E32" w:rsidRPr="005E2A08" w:rsidRDefault="00880E32" w:rsidP="004448BE">
      <w:pPr>
        <w:pStyle w:val="NoSpacing"/>
      </w:pPr>
    </w:p>
    <w:p w14:paraId="332B7E04" w14:textId="7F4765E0" w:rsidR="00D20518" w:rsidRPr="00782403" w:rsidRDefault="00D20518" w:rsidP="004448BE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782403">
        <w:rPr>
          <w:rFonts w:ascii="Times New Roman" w:hAnsi="Times New Roman"/>
          <w:b/>
          <w:bCs/>
          <w:i/>
          <w:iCs/>
          <w:szCs w:val="24"/>
          <w:lang w:val="cs-CZ"/>
        </w:rPr>
        <w:t xml:space="preserve">Která kategorie potravin zdražuje nejpomaleji (je u ní nejnižší </w:t>
      </w:r>
      <w:r w:rsidR="000C2E41" w:rsidRPr="00782403">
        <w:rPr>
          <w:rFonts w:ascii="Times New Roman" w:hAnsi="Times New Roman"/>
          <w:b/>
          <w:bCs/>
          <w:i/>
          <w:iCs/>
          <w:szCs w:val="24"/>
          <w:lang w:val="cs-CZ"/>
        </w:rPr>
        <w:t>procentuální</w:t>
      </w:r>
      <w:r w:rsidRPr="00782403">
        <w:rPr>
          <w:rFonts w:ascii="Times New Roman" w:hAnsi="Times New Roman"/>
          <w:b/>
          <w:bCs/>
          <w:i/>
          <w:iCs/>
          <w:szCs w:val="24"/>
          <w:lang w:val="cs-CZ"/>
        </w:rPr>
        <w:t xml:space="preserve"> meziroční nárůst)?</w:t>
      </w:r>
    </w:p>
    <w:p w14:paraId="68F6EA8C" w14:textId="77777777" w:rsidR="00D20518" w:rsidRPr="00FF04C6" w:rsidRDefault="00D20518" w:rsidP="004448BE">
      <w:pPr>
        <w:pStyle w:val="NoSpacing"/>
      </w:pPr>
    </w:p>
    <w:p w14:paraId="251B83AD" w14:textId="56097769" w:rsidR="00677515" w:rsidRDefault="00662636" w:rsidP="000304B2">
      <w:pPr>
        <w:pStyle w:val="ListParagraph"/>
        <w:ind w:left="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</w:t>
      </w:r>
      <w:r w:rsidR="00D20518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 této otázce </w:t>
      </w:r>
      <w:r w:rsidR="00793BC5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mě</w:t>
      </w:r>
      <w:r w:rsidR="00D20518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napadají 2 odpovědi</w:t>
      </w:r>
      <w:r w:rsidR="00677515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:</w:t>
      </w:r>
    </w:p>
    <w:p w14:paraId="34CF4662" w14:textId="77777777" w:rsidR="004448BE" w:rsidRDefault="004448BE" w:rsidP="000304B2">
      <w:pPr>
        <w:pStyle w:val="ListParagraph"/>
        <w:ind w:left="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7B7436C7" w14:textId="35DD2053" w:rsidR="00D20518" w:rsidRPr="00E64DAC" w:rsidRDefault="00677515" w:rsidP="000304B2">
      <w:pPr>
        <w:pStyle w:val="ListParagraph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E64D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N</w:t>
      </w:r>
      <w:r w:rsidR="00D20518" w:rsidRPr="00E64D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ajít kategorii, která zdražuje nejpomaleji v určitém roce</w:t>
      </w:r>
      <w:r w:rsidRPr="00E64D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.</w:t>
      </w:r>
    </w:p>
    <w:p w14:paraId="25A1F5B2" w14:textId="77777777" w:rsidR="00677515" w:rsidRPr="00FF04C6" w:rsidRDefault="00662636" w:rsidP="000A3D1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Postup: </w:t>
      </w:r>
    </w:p>
    <w:p w14:paraId="6A966871" w14:textId="57A14FB9" w:rsidR="0081417D" w:rsidRPr="00FF04C6" w:rsidRDefault="0081417D" w:rsidP="000A3D1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Nejdříve jse</w:t>
      </w:r>
      <w:r w:rsidR="00677675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m </w:t>
      </w: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vypočítat změny </w:t>
      </w:r>
      <w:r w:rsidR="00677675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průměrných </w:t>
      </w: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cen v jednotlivých letech pro danou kategorii</w:t>
      </w:r>
      <w:r w:rsidR="00662636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Pro tento výpočet jsem použila funkci </w:t>
      </w:r>
      <w:r w:rsidR="00662636"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="00662636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dále jsem vypočítala procentní změny mezi jednotlivým roky. Jednotlivé kroky jsem vložila do </w:t>
      </w:r>
      <w:proofErr w:type="spellStart"/>
      <w:r w:rsidR="00662636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SubSelectů</w:t>
      </w:r>
      <w:proofErr w:type="spellEnd"/>
      <w:r w:rsidR="00D34EF0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vše zabalila do </w:t>
      </w:r>
      <w:proofErr w:type="spellStart"/>
      <w:r w:rsidR="00D34EF0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Common</w:t>
      </w:r>
      <w:proofErr w:type="spellEnd"/>
      <w:r w:rsidR="00D34EF0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Table </w:t>
      </w:r>
      <w:proofErr w:type="spellStart"/>
      <w:r w:rsidR="00D34EF0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Expression</w:t>
      </w:r>
      <w:proofErr w:type="spellEnd"/>
      <w:r w:rsidR="00D34EF0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“</w:t>
      </w:r>
      <w:r w:rsidR="00D34EF0"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WITH”.</w:t>
      </w:r>
    </w:p>
    <w:p w14:paraId="1482FC92" w14:textId="77777777" w:rsidR="000304B2" w:rsidRDefault="00662636" w:rsidP="000304B2">
      <w:pPr>
        <w:pStyle w:val="ListParagraph"/>
        <w:ind w:left="0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</w:pPr>
      <w:proofErr w:type="spellStart"/>
      <w:r w:rsidRPr="000304B2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  <w:lastRenderedPageBreak/>
        <w:t>Odpověď</w:t>
      </w:r>
      <w:proofErr w:type="spellEnd"/>
      <w:r w:rsidRPr="000304B2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  <w:t>:</w:t>
      </w:r>
    </w:p>
    <w:p w14:paraId="681D0815" w14:textId="3244B186" w:rsidR="00736057" w:rsidRDefault="00677675" w:rsidP="00F454A6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454A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Nejpomalejší růst vykazují </w:t>
      </w:r>
      <w:r w:rsidR="000A3D16" w:rsidRPr="00F454A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</w:t>
      </w:r>
      <w:r w:rsidRPr="00F454A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ajská jablka kulatá v roce 2007, kdy došlo k poklesu průměrné ceny </w:t>
      </w:r>
      <w:r w:rsidRPr="002657D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o 30 % ve srovnání s rokem 2006. </w:t>
      </w:r>
    </w:p>
    <w:p w14:paraId="3A9C1010" w14:textId="6CBE8BE0" w:rsidR="000C2E41" w:rsidRPr="003D5BCF" w:rsidRDefault="000304B2" w:rsidP="000304B2">
      <w:pPr>
        <w:pStyle w:val="ListParagraph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Hledám kategorii, která má nejnižší </w:t>
      </w:r>
      <w:r w:rsidR="00F8658F"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geometrický </w:t>
      </w:r>
      <w:r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průměr meziročního růstu za sledovan</w:t>
      </w:r>
      <w:r w:rsidR="00677675"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é</w:t>
      </w:r>
      <w:r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období</w:t>
      </w:r>
    </w:p>
    <w:p w14:paraId="1D696CB7" w14:textId="77777777" w:rsidR="00F454A6" w:rsidRPr="00F8658F" w:rsidRDefault="000304B2" w:rsidP="00F454A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8658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Postup:</w:t>
      </w:r>
    </w:p>
    <w:p w14:paraId="07841858" w14:textId="73CF777F" w:rsidR="00175BC6" w:rsidRPr="00175BC6" w:rsidRDefault="00F8658F" w:rsidP="00F454A6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Nejdříve jsem pomocí funkce </w:t>
      </w:r>
      <w:r w:rsidRPr="00F8658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vypočítala změny průměrných cen v procentech v jednotlivých letech pro příslušnou kategorii</w:t>
      </w:r>
      <w:r w:rsidR="000304B2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Následně jsem vypočítala 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geometrický </w:t>
      </w:r>
      <w:r w:rsidR="000304B2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 z těchto 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růstů</w:t>
      </w:r>
      <w:r w:rsidR="000304B2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seřadila od nejnižší hodnoty.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Pro výpočet geometrického </w:t>
      </w:r>
      <w:r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průměru jsem</w:t>
      </w:r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proofErr w:type="spellStart"/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pužila</w:t>
      </w:r>
      <w:proofErr w:type="spellEnd"/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následující</w:t>
      </w:r>
      <w:r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proofErr w:type="gramStart"/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EXP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proofErr w:type="spellStart"/>
      <w:proofErr w:type="gramEnd"/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avg</w:t>
      </w:r>
      <w:proofErr w:type="spellEnd"/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proofErr w:type="spellStart"/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ln</w:t>
      </w:r>
      <w:proofErr w:type="spellEnd"/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(1 + (</w:t>
      </w:r>
      <w:proofErr w:type="spellStart"/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percentage_growth</w:t>
      </w:r>
      <w:proofErr w:type="spellEnd"/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/ 100))) ) - 1)*100</w:t>
      </w:r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175BC6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AS, </w:t>
      </w:r>
      <w:r w:rsidR="00175BC6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nejdříve jsem převedla růsty na růstový faktor a</w:t>
      </w:r>
      <w:r w:rsidR="00175B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175BC6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následně použila 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EXP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proofErr w:type="spellStart"/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avg</w:t>
      </w:r>
      <w:proofErr w:type="spellEnd"/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proofErr w:type="spellStart"/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ln</w:t>
      </w:r>
      <w:proofErr w:type="spellEnd"/>
      <w:r w:rsid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(… </w:t>
      </w:r>
      <w:r w:rsidR="00175B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pro výpočet geometrického průměru v SQL.</w:t>
      </w:r>
    </w:p>
    <w:p w14:paraId="48F2BC3D" w14:textId="7F723938" w:rsidR="00F8658F" w:rsidRPr="00F8658F" w:rsidRDefault="000304B2" w:rsidP="00F454A6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Jelikož 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jsem při zadávaní dotazu data po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tupně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analy</w:t>
      </w:r>
      <w:r w:rsidR="00DF4164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ovala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tak jsem zjistila, že v roce 2015 přibyla nová kategorie potravin Jakostní víno b</w:t>
      </w:r>
      <w:r w:rsidR="002657D4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í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l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é. </w:t>
      </w:r>
      <w:r w:rsidR="00F8658F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Tento druh zboží bychom měli z tohoto sledování vyloučit nebo brát v úvahu, že data za tuto kategorii sledujeme od roku 2015</w:t>
      </w:r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64EBB8AE" w14:textId="00B477CA" w:rsidR="000304B2" w:rsidRPr="00765B8E" w:rsidRDefault="000304B2" w:rsidP="00F454A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765B8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6938B47A" w14:textId="19127B24" w:rsidR="009A2C7A" w:rsidRDefault="004D3168" w:rsidP="00765B8E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 výpočtu je zřejmé, že hledanou kategorií je 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Cukr krystalový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 Za sledované období</w:t>
      </w:r>
      <w:r w:rsidR="00BB17F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proofErr w:type="gramStart"/>
      <w:r w:rsidR="00BB17F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2006 – 2018</w:t>
      </w:r>
      <w:proofErr w:type="gramEnd"/>
      <w:r w:rsidR="00BB17F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klesal průměrně meziročním </w:t>
      </w:r>
      <w:r w:rsidR="00BB17F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tempem o 2,6 %.</w:t>
      </w:r>
      <w:r w:rsidR="00BB17F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Průměrná cena </w:t>
      </w:r>
      <w:r w:rsidR="00DF416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za sledované období 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střídavě </w:t>
      </w:r>
      <w:r w:rsidR="002657D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roste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klesá, což může být ovlivněno různými faktory na trhu, jako jsou změny v nabídce a poptávce</w:t>
      </w:r>
      <w:r w:rsidR="00DF416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úroda cukrové řepy</w:t>
      </w:r>
      <w:r w:rsidR="00765B8E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cukrové třtiny </w:t>
      </w:r>
      <w:r w:rsidR="00DF416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aj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I přesto, že v některých letech ceny rostou, celkový průměr za celé období ukazuje </w:t>
      </w:r>
      <w:r w:rsidR="00765B8E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zápornou hodnotu</w:t>
      </w:r>
      <w:r w:rsidR="00765B8E" w:rsidRPr="00BE004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 V absolutních číslech cena</w:t>
      </w:r>
      <w:r w:rsidR="00B833F1" w:rsidRPr="00BE004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765B8E" w:rsidRPr="00BE004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cukru klesla z </w:t>
      </w:r>
      <w:r w:rsidR="00765B8E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21,</w:t>
      </w:r>
      <w:r w:rsidR="00402CEA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7</w:t>
      </w:r>
      <w:r w:rsidR="00765B8E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Kč/Kg</w:t>
      </w:r>
      <w:r w:rsidR="00765B8E" w:rsidRPr="00BE004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="00765B8E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</w:t>
      </w:r>
      <w:r w:rsidR="00402CEA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5</w:t>
      </w:r>
      <w:r w:rsidR="00765B8E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,7</w:t>
      </w:r>
      <w:r w:rsidR="00402CEA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5</w:t>
      </w:r>
      <w:r w:rsidR="00765B8E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Kč/Kg</w:t>
      </w:r>
      <w:r w:rsidR="00765B8E" w:rsidRPr="00BE004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2018.</w:t>
      </w:r>
    </w:p>
    <w:p w14:paraId="31508A64" w14:textId="06C350AC" w:rsidR="00702371" w:rsidRPr="004448BE" w:rsidRDefault="00702371" w:rsidP="004448BE">
      <w:pPr>
        <w:pStyle w:val="NoSpacing"/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</w:pP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 xml:space="preserve">Největší stabilitu vykazují žluté banány, jejichž růst byl během sledovaného období nejpomalejší,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>dosahující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 xml:space="preserve"> </w:t>
      </w:r>
      <w:proofErr w:type="spellStart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>pouze</w:t>
      </w:r>
      <w:proofErr w:type="spellEnd"/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 xml:space="preserve"> 0,6 %.</w:t>
      </w:r>
    </w:p>
    <w:p w14:paraId="6B5DB421" w14:textId="77777777" w:rsidR="003841E3" w:rsidRPr="004448BE" w:rsidRDefault="003841E3" w:rsidP="004448BE">
      <w:pPr>
        <w:pStyle w:val="NoSpacing"/>
      </w:pPr>
    </w:p>
    <w:p w14:paraId="5F2A52C6" w14:textId="6550FC21" w:rsidR="009A2C7A" w:rsidRPr="00782403" w:rsidRDefault="009A2C7A" w:rsidP="004448BE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782403">
        <w:rPr>
          <w:rFonts w:ascii="Times New Roman" w:hAnsi="Times New Roman"/>
          <w:b/>
          <w:bCs/>
          <w:i/>
          <w:iCs/>
          <w:szCs w:val="24"/>
          <w:lang w:val="cs-CZ"/>
        </w:rPr>
        <w:t>Existuje rok, ve kterém byl meziroční nárůst cen potravin výrazně vyšší než růst mezd (větší než 10 %)?</w:t>
      </w:r>
    </w:p>
    <w:p w14:paraId="7C9770A3" w14:textId="77777777" w:rsidR="004448BE" w:rsidRPr="004448BE" w:rsidRDefault="004448BE" w:rsidP="00E64DAC">
      <w:pPr>
        <w:pStyle w:val="NoSpacing"/>
        <w:rPr>
          <w:rFonts w:eastAsia="Times New Roman"/>
        </w:rPr>
      </w:pPr>
    </w:p>
    <w:p w14:paraId="448EF960" w14:textId="0A336AC2" w:rsidR="00661BDA" w:rsidRPr="005E2A08" w:rsidRDefault="00736057" w:rsidP="00736057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5E2A0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Postup:</w:t>
      </w:r>
    </w:p>
    <w:p w14:paraId="2AD46B15" w14:textId="35A7335F" w:rsidR="00661BDA" w:rsidRDefault="00B125C1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587C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</w:t>
      </w:r>
      <w:r w:rsidR="00661BDA" w:rsidRPr="00587C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ejdříve jsem pro výpočet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zjistila průměrn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ou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cen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za všechny kategorie a průměrnou mzdu za všechna odvětví. 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(Musím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přiznat, že počítání průměrných cen potravin napříč tak odlišnými kategoriemi s různými cenovými úrovněmi mi úplně nedává smysl. Možná by bylo vhodné při výpočtu zohlednit váhu jednotlivých potravin, aby výsledky lépe odrážely skutečné podmínky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 Do takového výpočtu jsem se ale nechtěla pouštět, pokud teda zadaný dotaz nebyl myšlený ještě jinak).</w:t>
      </w:r>
    </w:p>
    <w:p w14:paraId="0D5B2ABF" w14:textId="4BE4419B" w:rsidR="00B125C1" w:rsidRDefault="00B125C1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Dále jsem využila funkci </w:t>
      </w:r>
      <w:r w:rsidRPr="00B125C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k výpočtu meziročních </w:t>
      </w:r>
      <w:r w:rsidR="00A37C5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rozdílů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cenách a mzdách</w:t>
      </w:r>
      <w:r w:rsidR="00A37C5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spočítala procentní růst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Poté jsem vytvořila pomocný sloupec s názvem </w:t>
      </w:r>
      <w:r w:rsidRPr="00B125C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„</w:t>
      </w:r>
      <w:proofErr w:type="spellStart"/>
      <w:r w:rsidRPr="00B125C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result</w:t>
      </w:r>
      <w:proofErr w:type="spellEnd"/>
      <w:r w:rsidRPr="00B125C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“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který v případě, že dojde k růstu cen o 10 % a více, zobrazí hodnotu </w:t>
      </w:r>
      <w:r w:rsidRPr="009F3C9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„</w:t>
      </w:r>
      <w:proofErr w:type="spellStart"/>
      <w:r w:rsidRPr="009F3C9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yes</w:t>
      </w:r>
      <w:proofErr w:type="spellEnd"/>
      <w:r w:rsidRPr="009F3C9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“,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v opačném případě „no“. Tento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postup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mi umožňuje snadno zjistit, v kterých letech došlo k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požadovanému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růstu cen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  <w:r w:rsid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63F6C300" w14:textId="65A6D836" w:rsidR="00FF0D6F" w:rsidRDefault="00A37C54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lastRenderedPageBreak/>
        <w:t>Z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výpočtu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jsem 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vyloučila kategorii </w:t>
      </w:r>
      <w:r w:rsidR="00FF0D6F" w:rsidRPr="00FF0D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Jakostní víno bílé</w:t>
      </w:r>
      <w:r w:rsidR="00FF0D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pomocí</w:t>
      </w:r>
      <w:r w:rsid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BD3D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klauzule</w:t>
      </w:r>
      <w:r w:rsid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FF0D6F" w:rsidRPr="000B1F3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WHERE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protože byla do příslušného souhrnu zahrnuta až v roce 2015, což by mohlo zkreslit výsledky. </w:t>
      </w:r>
      <w:r w:rsidRPr="00A37C5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Případně bych mohla tuto kategorii ve výpočtu ponechat, avšak bylo by nutné vzít v úvahu, že od roku 2015 došlo ke změně v souboru potravin, což by bylo třeba okomentovat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0EF56EF6" w14:textId="68896D60" w:rsidR="00661BDA" w:rsidRPr="00DB2197" w:rsidRDefault="00661BDA" w:rsidP="00736057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DB2197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118D2E2F" w14:textId="08F0F309" w:rsidR="007F745C" w:rsidRDefault="007F745C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 analýzy vyplývá, že v roce </w:t>
      </w:r>
      <w:r w:rsidRPr="003903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2017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došlo </w:t>
      </w:r>
      <w:r w:rsidRPr="003903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 růstu cen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který </w:t>
      </w:r>
      <w:r w:rsidRPr="003903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přesáhl 10 %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což ukazuje na výraznější nárůst cen oproti </w:t>
      </w:r>
      <w:r w:rsidRPr="00B1370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mzdám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které </w:t>
      </w:r>
      <w:r w:rsidRPr="00B1370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vzrostly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pouze </w:t>
      </w:r>
      <w:r w:rsidRPr="00B1370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 6,</w:t>
      </w:r>
      <w:r w:rsidR="0039031E" w:rsidRPr="00B1370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</w:t>
      </w:r>
      <w:r w:rsidRPr="00B1370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%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yto hodnoty tedy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ukazují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že ceny vzrostly rychleji než mzdy, což vedlo ke poklesu kupní síly obyvatel v daném roce.</w:t>
      </w:r>
    </w:p>
    <w:p w14:paraId="1FB96E7B" w14:textId="77777777" w:rsidR="005D667D" w:rsidRPr="004448BE" w:rsidRDefault="005D667D" w:rsidP="004448BE">
      <w:pPr>
        <w:pStyle w:val="NoSpacing"/>
      </w:pPr>
    </w:p>
    <w:p w14:paraId="39574865" w14:textId="524798B0" w:rsidR="00791DF1" w:rsidRDefault="00791DF1" w:rsidP="004448BE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4448BE">
        <w:rPr>
          <w:rFonts w:ascii="Times New Roman" w:hAnsi="Times New Roman"/>
          <w:b/>
          <w:bCs/>
          <w:i/>
          <w:iCs/>
          <w:szCs w:val="24"/>
          <w:lang w:val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3B7231FF" w14:textId="77777777" w:rsidR="004448BE" w:rsidRDefault="004448BE" w:rsidP="004448BE">
      <w:pPr>
        <w:pStyle w:val="NoSpacing"/>
        <w:rPr>
          <w:rFonts w:eastAsia="Times New Roman"/>
          <w:lang w:eastAsia="cs-CZ"/>
        </w:rPr>
      </w:pPr>
    </w:p>
    <w:p w14:paraId="21DF92B5" w14:textId="15C4D6D4" w:rsidR="00381FB8" w:rsidRPr="005E2A08" w:rsidRDefault="00381FB8" w:rsidP="00381FB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5E2A0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Postup:</w:t>
      </w:r>
    </w:p>
    <w:p w14:paraId="58BD669F" w14:textId="1C5887A0" w:rsidR="000F7A6F" w:rsidRDefault="000F7A6F" w:rsidP="000F7A6F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Nejprve jsem vytvořila sekundární tabulku, abych spojila data o mzdách, cenách a HDP. Poté jsem spočítala průměrné ceny za celou skupinu potravin. Jak jsem již zmínila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výše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vzhledem k rozmanitosti této skupiny a širokému cenovému rozpětí by bylo lepší použít váhy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jednotlivý</w:t>
      </w:r>
      <w:r w:rsidR="00E35D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ch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kategorií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 Dále jsem sestavila tabulku, která zobrazuje HDP, průměrné ceny a mzdy v období od roku 2006 do roku 2018, přičemž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jsem 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ve výpočtu ponechala Jakostní víno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bílé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2165FD0C" w14:textId="3130E3A3" w:rsidR="00026EC4" w:rsidRPr="000F7A6F" w:rsidRDefault="00026EC4" w:rsidP="000F7A6F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Pro další potřeby jsem ještě vytvořila tabulku obsahují přehled HDP, GINI, populaci </w:t>
      </w:r>
      <w:r w:rsidR="000B359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 Evropě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za období 2006 až 20018.</w:t>
      </w:r>
    </w:p>
    <w:p w14:paraId="7DCC6737" w14:textId="1A21EFE1" w:rsidR="009623D8" w:rsidRPr="00EB5D11" w:rsidRDefault="009623D8" w:rsidP="00381FB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EB5D1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3D81603E" w14:textId="77777777" w:rsidR="000F7A6F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Odpovědět na otázku, zda má růst HDP vliv na růst cen a mezd, není zcela jednoduché.</w:t>
      </w:r>
      <w:r w:rsid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69DFA801" w14:textId="77777777" w:rsidR="00214CD9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 období, kdy HDP roste, obvykle vykazují i ceny a mzdy pozitivní trend.</w:t>
      </w:r>
    </w:p>
    <w:p w14:paraId="3A481B1F" w14:textId="7F869A70" w:rsidR="00601C97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Pokud se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ale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podíváme na jednotlivé roky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detailněji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zjistíme, že růst HDP není vždy přímo spojen s růstem cen a mezd, a stejně tak pokles HDP není vždy doprovázen snížením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či poklesem růstu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cen </w:t>
      </w:r>
      <w:r w:rsid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a mezd. 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Pojďme se nyní podívat podrobněji na to, jak růst HDP ovlivňuje ekonomiku v jednotlivých letech.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56906B92" w14:textId="0A3DB004" w:rsidR="00601C97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letech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2007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2008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došlo k růstu HDP, což bylo spojeno i s růstem cen a mezd.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127CDD7E" w14:textId="6964DDC2" w:rsidR="006D48B5" w:rsidRDefault="0018693C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Zajímavý je rok </w:t>
      </w:r>
      <w:r w:rsidR="006D48B5"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2009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kdy došlo </w:t>
      </w:r>
      <w:r w:rsidRPr="00E74904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</w:t>
      </w:r>
      <w:r w:rsidR="006D48B5" w:rsidRPr="00E74904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pokleslo HDP o </w:t>
      </w:r>
      <w:proofErr w:type="gramStart"/>
      <w:r w:rsidR="006D48B5" w:rsidRPr="00E74904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4,7%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 důvodu globální krize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 </w:t>
      </w:r>
      <w:r w:rsidR="00E9035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roku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200</w:t>
      </w:r>
      <w:r w:rsidR="00E9035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7, která se dostala do ČR ke konci roku 2008 a ekonomiku začala ovlivňovat až v roce 2009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což mělo vliv na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zpomalení růstu cen nebo jejich pokles 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 zároveň vliv na</w:t>
      </w:r>
      <w:r w:rsid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zpomalení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růst</w:t>
      </w:r>
      <w:r w:rsid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mezd ve výši 3,</w:t>
      </w:r>
      <w:r w:rsidR="002F1F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1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%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tzn. 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ž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 firmy spíše reagují zpomalením tempa růstu mezd než jejich snížením.</w:t>
      </w:r>
    </w:p>
    <w:p w14:paraId="458D9182" w14:textId="3C10E3E9" w:rsidR="00DC6021" w:rsidRDefault="006F677F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K dalšímu </w:t>
      </w:r>
      <w:r w:rsidRPr="00E74904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poklesu HDP o 0,8 %</w:t>
      </w: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došlo v roce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2012</w:t>
      </w: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U cen však pozorujeme opačný trend než v roce 2009, </w:t>
      </w:r>
      <w:r w:rsidRPr="0033789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ceny rostly o 6,9 % a mzdy o 3 %</w:t>
      </w: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DC602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 podrobněj</w:t>
      </w:r>
      <w:r w:rsidR="00FB043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š</w:t>
      </w:r>
      <w:r w:rsidR="00DC602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ím přezkoumání mělo vliv na růst cen zvýšení sazby DPH a růst cen energií, což má přímý vliv na růst cen zboží a služeb. </w:t>
      </w:r>
      <w:r w:rsidR="00FB043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Ačkoli tedy ekonomika byla v recesi, nevedlo to k okamžitému poklesu cen ba naopak k výraznému </w:t>
      </w:r>
      <w:r w:rsidR="00FB043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lastRenderedPageBreak/>
        <w:t>zvýšení cen způsobeném zvýšením rostoucími náklady na produkci.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Ke snížení mezd 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dochází až </w:t>
      </w:r>
      <w:r w:rsidR="00E7490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</w:t>
      </w:r>
      <w:r w:rsid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2013 tzn. s určitým časovým zpožděním. Na tyto data se můžeme podrobněji podívat v dotazu č.</w:t>
      </w:r>
      <w:r w:rsidR="00CC48A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1, </w:t>
      </w:r>
      <w:r w:rsid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který nám ukazuje vývoj mezd v jednotlivých odvětvích.</w:t>
      </w:r>
    </w:p>
    <w:p w14:paraId="33ABD9CD" w14:textId="034B7D0C" w:rsidR="00FF0AA3" w:rsidRPr="00FF0AA3" w:rsidRDefault="00FF0AA3" w:rsidP="00381FB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Rok </w:t>
      </w:r>
      <w:r w:rsidRPr="00FF0AA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2013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Pr="00FF0AA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byl jediným rokem, kdy došlo </w:t>
      </w:r>
      <w:r w:rsidRPr="00FF0AA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 </w:t>
      </w:r>
      <w:r w:rsidRPr="00FF0AA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poklesu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průmě</w:t>
      </w:r>
      <w:r w:rsidR="00076A1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ných</w:t>
      </w:r>
      <w:r w:rsidRPr="00FF0AA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mezd o 1,</w:t>
      </w:r>
      <w:r w:rsidR="00F131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5</w:t>
      </w:r>
      <w:r w:rsidRPr="00FF0AA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%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. 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Tento pokles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byl způsoben recesí v roce 2012,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jejíž důsledky se projevily na mzdách až v následujícím roce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jak již bylo vysvětleno v otázce č.</w:t>
      </w:r>
      <w:r w:rsidR="00076A1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1.</w:t>
      </w:r>
    </w:p>
    <w:p w14:paraId="0478687F" w14:textId="75026EF1" w:rsidR="00DD7224" w:rsidRPr="007F779F" w:rsidRDefault="00DD7224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val="en-US" w:eastAsia="cs-CZ"/>
          <w14:ligatures w14:val="none"/>
        </w:rPr>
      </w:pPr>
      <w:r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roce </w:t>
      </w:r>
      <w:r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2015</w:t>
      </w:r>
      <w:r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došlo k výraznému </w:t>
      </w:r>
      <w:r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růstu HDP o</w:t>
      </w:r>
      <w:r w:rsidR="00C1325C"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5,4 %</w:t>
      </w:r>
      <w:r w:rsid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,</w:t>
      </w:r>
      <w:r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ale průměrné mzdy </w:t>
      </w:r>
      <w:r w:rsidR="006F677F"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rostly </w:t>
      </w:r>
      <w:proofErr w:type="gramStart"/>
      <w:r w:rsidR="006F677F"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pomal</w:t>
      </w:r>
      <w:r w:rsidR="009E6F9D"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eji</w:t>
      </w:r>
      <w:proofErr w:type="gramEnd"/>
      <w:r w:rsidR="006F677F" w:rsidRPr="0048033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to</w:t>
      </w:r>
      <w:r w:rsidRPr="00DD722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 několika důvodů: rostoucí zaměstnanost v nízkopříjmových sektorech, zvýšení produktivity bez odpovídajícího růstu mezd, rostoucí konkurence na trhu práce a stagnace reálných mezd v důsledku nízké inflace. 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Tato kombinace faktorů vedla </w:t>
      </w:r>
      <w:r w:rsidR="00E7490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k 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situaci, kdy ekonomika rostla, ale mzdy neodrážely tento růst.</w:t>
      </w:r>
      <w:r w:rsid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E9035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Pro připomenutí </w:t>
      </w:r>
      <w:r w:rsidR="000B41A8"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 roce 2015 bylo do souboru potravin zařazeno Jakostní víno</w:t>
      </w:r>
      <w:r w:rsidR="007F779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bílé</w:t>
      </w:r>
      <w:r w:rsidR="000B41A8"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což mělo vliv na průměrnou cenu</w:t>
      </w:r>
      <w:r w:rsidR="007F779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cena je v tomto roce zkreslena. Pro případnou detailnější analýzu cen by bylo potřeba víno </w:t>
      </w:r>
      <w:r w:rsidR="001C285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</w:t>
      </w:r>
      <w:r w:rsidR="007F779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 průměru vyloučit.</w:t>
      </w:r>
    </w:p>
    <w:p w14:paraId="6FCEBB06" w14:textId="77777777" w:rsidR="000B41A8" w:rsidRDefault="000B41A8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letech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2017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2018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opět dochází </w:t>
      </w:r>
      <w:r w:rsidRPr="0078240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 výraznému růstu HDP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který je zároveň </w:t>
      </w:r>
      <w:r w:rsidRPr="00F131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doprovázen růstem cen i mezd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</w:t>
      </w:r>
    </w:p>
    <w:p w14:paraId="3B7BA85B" w14:textId="028DFFE2" w:rsidR="00DD7224" w:rsidRDefault="000B41A8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 výše uvedeného je tedy zřejmé, že nelze přesně predikovat, jaký vliv bude mít růst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či pokles 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HDP na růst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či pokles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cen a mezd.</w:t>
      </w:r>
    </w:p>
    <w:p w14:paraId="0CDE20FA" w14:textId="0173B4C6" w:rsidR="00CB2EC1" w:rsidRPr="00CB2EC1" w:rsidRDefault="00CB2EC1" w:rsidP="004E072F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rPr>
          <w:rFonts w:ascii="Times New Roman" w:hAnsi="Times New Roman"/>
          <w:i/>
          <w:iCs/>
        </w:rPr>
      </w:pPr>
    </w:p>
    <w:p w14:paraId="28E7EB16" w14:textId="12910A08" w:rsidR="00026EC4" w:rsidRDefault="00026EC4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7F21E7F0" w14:textId="77777777" w:rsidR="00026EC4" w:rsidRDefault="00026EC4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23393A7E" w14:textId="2CD506FA" w:rsidR="00661BDA" w:rsidRPr="00661BDA" w:rsidRDefault="00661BDA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10242306" w14:textId="77777777" w:rsidR="00662636" w:rsidRDefault="00662636" w:rsidP="0081417D">
      <w:pPr>
        <w:pStyle w:val="ListParagraph"/>
      </w:pPr>
    </w:p>
    <w:p w14:paraId="61B5443A" w14:textId="77777777" w:rsidR="00D20518" w:rsidRDefault="00D20518" w:rsidP="00D20518">
      <w:pPr>
        <w:pStyle w:val="ListParagraph"/>
      </w:pPr>
    </w:p>
    <w:p w14:paraId="22F331AF" w14:textId="2190D4E0" w:rsidR="00662636" w:rsidRDefault="00662636" w:rsidP="00D20518">
      <w:pPr>
        <w:pStyle w:val="ListParagraph"/>
      </w:pPr>
    </w:p>
    <w:p w14:paraId="4FCC195A" w14:textId="19846E5E" w:rsidR="00662636" w:rsidRDefault="00662636" w:rsidP="00D20518">
      <w:pPr>
        <w:pStyle w:val="ListParagraph"/>
      </w:pPr>
    </w:p>
    <w:p w14:paraId="6D91C4F5" w14:textId="77777777" w:rsidR="00D20518" w:rsidRDefault="00D20518" w:rsidP="00D20518">
      <w:pPr>
        <w:pStyle w:val="ListParagraph"/>
      </w:pPr>
    </w:p>
    <w:p w14:paraId="573BDDCC" w14:textId="77777777" w:rsidR="00D20518" w:rsidRDefault="00D20518" w:rsidP="00C32B33"/>
    <w:p w14:paraId="706F4628" w14:textId="77777777" w:rsidR="00A8731C" w:rsidRDefault="00A8731C" w:rsidP="00C32B33"/>
    <w:p w14:paraId="6A36E0F8" w14:textId="77777777" w:rsidR="00A8731C" w:rsidRDefault="00A8731C" w:rsidP="00C32B33"/>
    <w:p w14:paraId="7748542D" w14:textId="77777777" w:rsidR="00A8731C" w:rsidRDefault="00A8731C" w:rsidP="00C32B33"/>
    <w:p w14:paraId="15EBD407" w14:textId="77777777" w:rsidR="00A8731C" w:rsidRDefault="00A8731C" w:rsidP="00C32B33"/>
    <w:p w14:paraId="7ABD7D02" w14:textId="77777777" w:rsidR="00A8731C" w:rsidRDefault="00A8731C" w:rsidP="00C32B33"/>
    <w:p w14:paraId="6BB70750" w14:textId="77777777" w:rsidR="00A8731C" w:rsidRDefault="00A8731C" w:rsidP="00C32B33"/>
    <w:p w14:paraId="62AABAA1" w14:textId="77777777" w:rsidR="00653882" w:rsidRDefault="00653882" w:rsidP="00C32B33"/>
    <w:p w14:paraId="41945B10" w14:textId="06137B25" w:rsidR="00653882" w:rsidRDefault="00653882" w:rsidP="00C32B33"/>
    <w:p w14:paraId="54D74025" w14:textId="5F92303D" w:rsidR="00A8731C" w:rsidRDefault="00A8731C" w:rsidP="00C32B33"/>
    <w:sectPr w:rsidR="00A8731C" w:rsidSect="00076E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BFBA1" w14:textId="77777777" w:rsidR="006F57E8" w:rsidRDefault="006F57E8" w:rsidP="006A7965">
      <w:pPr>
        <w:spacing w:after="0" w:line="240" w:lineRule="auto"/>
      </w:pPr>
      <w:r>
        <w:separator/>
      </w:r>
    </w:p>
  </w:endnote>
  <w:endnote w:type="continuationSeparator" w:id="0">
    <w:p w14:paraId="2454DF68" w14:textId="77777777" w:rsidR="006F57E8" w:rsidRDefault="006F57E8" w:rsidP="006A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A6587" w14:textId="77777777" w:rsidR="006F57E8" w:rsidRDefault="006F57E8" w:rsidP="006A7965">
      <w:pPr>
        <w:spacing w:after="0" w:line="240" w:lineRule="auto"/>
      </w:pPr>
      <w:r>
        <w:separator/>
      </w:r>
    </w:p>
  </w:footnote>
  <w:footnote w:type="continuationSeparator" w:id="0">
    <w:p w14:paraId="47D7894F" w14:textId="77777777" w:rsidR="006F57E8" w:rsidRDefault="006F57E8" w:rsidP="006A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6146856"/>
      <w:docPartObj>
        <w:docPartGallery w:val="Page Numbers (Top of Page)"/>
        <w:docPartUnique/>
      </w:docPartObj>
    </w:sdtPr>
    <w:sdtContent>
      <w:p w14:paraId="10D98906" w14:textId="6AB0C455" w:rsidR="006A7965" w:rsidRDefault="006A7965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292F9" w14:textId="77777777" w:rsidR="006A7965" w:rsidRDefault="006A7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0057"/>
    <w:multiLevelType w:val="hybridMultilevel"/>
    <w:tmpl w:val="CAEE9A2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003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8C2BF6"/>
    <w:multiLevelType w:val="hybridMultilevel"/>
    <w:tmpl w:val="B8DC5A50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-900" w:hanging="360"/>
      </w:pPr>
    </w:lvl>
    <w:lvl w:ilvl="2" w:tplc="0405001B" w:tentative="1">
      <w:start w:val="1"/>
      <w:numFmt w:val="lowerRoman"/>
      <w:lvlText w:val="%3."/>
      <w:lvlJc w:val="right"/>
      <w:pPr>
        <w:ind w:left="-180" w:hanging="180"/>
      </w:pPr>
    </w:lvl>
    <w:lvl w:ilvl="3" w:tplc="0405000F" w:tentative="1">
      <w:start w:val="1"/>
      <w:numFmt w:val="decimal"/>
      <w:lvlText w:val="%4."/>
      <w:lvlJc w:val="left"/>
      <w:pPr>
        <w:ind w:left="540" w:hanging="360"/>
      </w:pPr>
    </w:lvl>
    <w:lvl w:ilvl="4" w:tplc="04050019" w:tentative="1">
      <w:start w:val="1"/>
      <w:numFmt w:val="lowerLetter"/>
      <w:lvlText w:val="%5."/>
      <w:lvlJc w:val="left"/>
      <w:pPr>
        <w:ind w:left="1260" w:hanging="360"/>
      </w:pPr>
    </w:lvl>
    <w:lvl w:ilvl="5" w:tplc="0405001B" w:tentative="1">
      <w:start w:val="1"/>
      <w:numFmt w:val="lowerRoman"/>
      <w:lvlText w:val="%6."/>
      <w:lvlJc w:val="right"/>
      <w:pPr>
        <w:ind w:left="1980" w:hanging="180"/>
      </w:pPr>
    </w:lvl>
    <w:lvl w:ilvl="6" w:tplc="0405000F" w:tentative="1">
      <w:start w:val="1"/>
      <w:numFmt w:val="decimal"/>
      <w:lvlText w:val="%7."/>
      <w:lvlJc w:val="left"/>
      <w:pPr>
        <w:ind w:left="2700" w:hanging="360"/>
      </w:pPr>
    </w:lvl>
    <w:lvl w:ilvl="7" w:tplc="04050019" w:tentative="1">
      <w:start w:val="1"/>
      <w:numFmt w:val="lowerLetter"/>
      <w:lvlText w:val="%8."/>
      <w:lvlJc w:val="left"/>
      <w:pPr>
        <w:ind w:left="3420" w:hanging="360"/>
      </w:pPr>
    </w:lvl>
    <w:lvl w:ilvl="8" w:tplc="0405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3" w15:restartNumberingAfterBreak="0">
    <w:nsid w:val="28FE480C"/>
    <w:multiLevelType w:val="hybridMultilevel"/>
    <w:tmpl w:val="8F289EF8"/>
    <w:lvl w:ilvl="0" w:tplc="040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B2685"/>
    <w:multiLevelType w:val="hybridMultilevel"/>
    <w:tmpl w:val="1D4EAF7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7E0975"/>
    <w:multiLevelType w:val="hybridMultilevel"/>
    <w:tmpl w:val="9EC0A96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A0C43"/>
    <w:multiLevelType w:val="hybridMultilevel"/>
    <w:tmpl w:val="37145A1C"/>
    <w:lvl w:ilvl="0" w:tplc="5292FC4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D5478"/>
    <w:multiLevelType w:val="hybridMultilevel"/>
    <w:tmpl w:val="2F18110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255E8"/>
    <w:multiLevelType w:val="hybridMultilevel"/>
    <w:tmpl w:val="C1D24E5C"/>
    <w:lvl w:ilvl="0" w:tplc="42482DE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ED54E2"/>
    <w:multiLevelType w:val="hybridMultilevel"/>
    <w:tmpl w:val="5A8C044A"/>
    <w:lvl w:ilvl="0" w:tplc="77E293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537655">
    <w:abstractNumId w:val="7"/>
  </w:num>
  <w:num w:numId="2" w16cid:durableId="1197736845">
    <w:abstractNumId w:val="0"/>
  </w:num>
  <w:num w:numId="3" w16cid:durableId="1202278787">
    <w:abstractNumId w:val="5"/>
  </w:num>
  <w:num w:numId="4" w16cid:durableId="494807386">
    <w:abstractNumId w:val="8"/>
  </w:num>
  <w:num w:numId="5" w16cid:durableId="926380806">
    <w:abstractNumId w:val="4"/>
  </w:num>
  <w:num w:numId="6" w16cid:durableId="1737437178">
    <w:abstractNumId w:val="9"/>
  </w:num>
  <w:num w:numId="7" w16cid:durableId="1731684556">
    <w:abstractNumId w:val="6"/>
  </w:num>
  <w:num w:numId="8" w16cid:durableId="485053180">
    <w:abstractNumId w:val="2"/>
  </w:num>
  <w:num w:numId="9" w16cid:durableId="986398343">
    <w:abstractNumId w:val="1"/>
  </w:num>
  <w:num w:numId="10" w16cid:durableId="1834955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40"/>
    <w:rsid w:val="00026200"/>
    <w:rsid w:val="00026EC4"/>
    <w:rsid w:val="000304B2"/>
    <w:rsid w:val="00046032"/>
    <w:rsid w:val="00063FA1"/>
    <w:rsid w:val="00076A13"/>
    <w:rsid w:val="00076E7A"/>
    <w:rsid w:val="000A3D16"/>
    <w:rsid w:val="000B1F33"/>
    <w:rsid w:val="000B3596"/>
    <w:rsid w:val="000B41A8"/>
    <w:rsid w:val="000C15DF"/>
    <w:rsid w:val="000C2E41"/>
    <w:rsid w:val="000C5214"/>
    <w:rsid w:val="000F7A6F"/>
    <w:rsid w:val="00104EAA"/>
    <w:rsid w:val="00137B3D"/>
    <w:rsid w:val="00175BC6"/>
    <w:rsid w:val="00186689"/>
    <w:rsid w:val="0018693C"/>
    <w:rsid w:val="001C16A4"/>
    <w:rsid w:val="001C2853"/>
    <w:rsid w:val="001C4F99"/>
    <w:rsid w:val="001F7A00"/>
    <w:rsid w:val="00214CD9"/>
    <w:rsid w:val="00255717"/>
    <w:rsid w:val="002657D4"/>
    <w:rsid w:val="00273A61"/>
    <w:rsid w:val="002E039A"/>
    <w:rsid w:val="002F1FE3"/>
    <w:rsid w:val="00301B92"/>
    <w:rsid w:val="003031DB"/>
    <w:rsid w:val="00321F15"/>
    <w:rsid w:val="0033789E"/>
    <w:rsid w:val="00381FB8"/>
    <w:rsid w:val="003841E3"/>
    <w:rsid w:val="0039031E"/>
    <w:rsid w:val="003C6639"/>
    <w:rsid w:val="003D5BCF"/>
    <w:rsid w:val="00402CEA"/>
    <w:rsid w:val="00404DBC"/>
    <w:rsid w:val="00437863"/>
    <w:rsid w:val="004448BE"/>
    <w:rsid w:val="00453C18"/>
    <w:rsid w:val="004573A2"/>
    <w:rsid w:val="00480336"/>
    <w:rsid w:val="00483393"/>
    <w:rsid w:val="004A13D2"/>
    <w:rsid w:val="004C0A67"/>
    <w:rsid w:val="004D2EAF"/>
    <w:rsid w:val="004D3168"/>
    <w:rsid w:val="004E072F"/>
    <w:rsid w:val="004E4E3C"/>
    <w:rsid w:val="004F612F"/>
    <w:rsid w:val="00501EC7"/>
    <w:rsid w:val="00532CEA"/>
    <w:rsid w:val="00561914"/>
    <w:rsid w:val="00587C08"/>
    <w:rsid w:val="00591CF9"/>
    <w:rsid w:val="005A7ACA"/>
    <w:rsid w:val="005B3786"/>
    <w:rsid w:val="005D3F36"/>
    <w:rsid w:val="005D667D"/>
    <w:rsid w:val="005E2A08"/>
    <w:rsid w:val="00601C97"/>
    <w:rsid w:val="00627AFC"/>
    <w:rsid w:val="00653882"/>
    <w:rsid w:val="00661BDA"/>
    <w:rsid w:val="00662636"/>
    <w:rsid w:val="00677515"/>
    <w:rsid w:val="00677675"/>
    <w:rsid w:val="006A7965"/>
    <w:rsid w:val="006D3B79"/>
    <w:rsid w:val="006D48B5"/>
    <w:rsid w:val="006D5ADD"/>
    <w:rsid w:val="006F57E8"/>
    <w:rsid w:val="006F677F"/>
    <w:rsid w:val="00702371"/>
    <w:rsid w:val="0073073E"/>
    <w:rsid w:val="00736057"/>
    <w:rsid w:val="00741DE3"/>
    <w:rsid w:val="00765B8E"/>
    <w:rsid w:val="00782403"/>
    <w:rsid w:val="00791DF1"/>
    <w:rsid w:val="00793BC5"/>
    <w:rsid w:val="007A1C58"/>
    <w:rsid w:val="007F745C"/>
    <w:rsid w:val="007F779F"/>
    <w:rsid w:val="0081417D"/>
    <w:rsid w:val="0086663B"/>
    <w:rsid w:val="00880E32"/>
    <w:rsid w:val="008B3841"/>
    <w:rsid w:val="008D3F90"/>
    <w:rsid w:val="008E2D2F"/>
    <w:rsid w:val="0092021D"/>
    <w:rsid w:val="00924C6A"/>
    <w:rsid w:val="009623D8"/>
    <w:rsid w:val="009A2C7A"/>
    <w:rsid w:val="009E501E"/>
    <w:rsid w:val="009E6F9D"/>
    <w:rsid w:val="009F3C95"/>
    <w:rsid w:val="00A11E6B"/>
    <w:rsid w:val="00A37C54"/>
    <w:rsid w:val="00A8731C"/>
    <w:rsid w:val="00A9708E"/>
    <w:rsid w:val="00AF4759"/>
    <w:rsid w:val="00B0065B"/>
    <w:rsid w:val="00B10B50"/>
    <w:rsid w:val="00B125C1"/>
    <w:rsid w:val="00B1370C"/>
    <w:rsid w:val="00B43940"/>
    <w:rsid w:val="00B45812"/>
    <w:rsid w:val="00B53AF7"/>
    <w:rsid w:val="00B81304"/>
    <w:rsid w:val="00B833F1"/>
    <w:rsid w:val="00B85225"/>
    <w:rsid w:val="00BA758F"/>
    <w:rsid w:val="00BB17F8"/>
    <w:rsid w:val="00BC3DBA"/>
    <w:rsid w:val="00BD3D08"/>
    <w:rsid w:val="00BE0046"/>
    <w:rsid w:val="00C02064"/>
    <w:rsid w:val="00C1325C"/>
    <w:rsid w:val="00C32B33"/>
    <w:rsid w:val="00CB2EC1"/>
    <w:rsid w:val="00CC48A3"/>
    <w:rsid w:val="00CE6F0D"/>
    <w:rsid w:val="00D20518"/>
    <w:rsid w:val="00D279A7"/>
    <w:rsid w:val="00D34EF0"/>
    <w:rsid w:val="00D4325D"/>
    <w:rsid w:val="00DB036B"/>
    <w:rsid w:val="00DB2197"/>
    <w:rsid w:val="00DC6021"/>
    <w:rsid w:val="00DD58E0"/>
    <w:rsid w:val="00DD7224"/>
    <w:rsid w:val="00DF4164"/>
    <w:rsid w:val="00E01925"/>
    <w:rsid w:val="00E26BBB"/>
    <w:rsid w:val="00E33D1C"/>
    <w:rsid w:val="00E34464"/>
    <w:rsid w:val="00E35DDA"/>
    <w:rsid w:val="00E64DAC"/>
    <w:rsid w:val="00E73461"/>
    <w:rsid w:val="00E74904"/>
    <w:rsid w:val="00E90352"/>
    <w:rsid w:val="00E90534"/>
    <w:rsid w:val="00E9380A"/>
    <w:rsid w:val="00EA2CA3"/>
    <w:rsid w:val="00EB5D11"/>
    <w:rsid w:val="00ED0DB4"/>
    <w:rsid w:val="00ED53BC"/>
    <w:rsid w:val="00F131B5"/>
    <w:rsid w:val="00F454A6"/>
    <w:rsid w:val="00F65016"/>
    <w:rsid w:val="00F8658F"/>
    <w:rsid w:val="00FA05DD"/>
    <w:rsid w:val="00FB043B"/>
    <w:rsid w:val="00FC3FEE"/>
    <w:rsid w:val="00FF04C6"/>
    <w:rsid w:val="00FF0AA3"/>
    <w:rsid w:val="00F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4A06"/>
  <w15:chartTrackingRefBased/>
  <w15:docId w15:val="{FC729760-185C-4115-A432-3763A7DB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940"/>
    <w:rPr>
      <w:b/>
      <w:bCs/>
      <w:smallCaps/>
      <w:color w:val="2F5496" w:themeColor="accent1" w:themeShade="BF"/>
      <w:spacing w:val="5"/>
    </w:rPr>
  </w:style>
  <w:style w:type="paragraph" w:customStyle="1" w:styleId="Export0">
    <w:name w:val="Export 0"/>
    <w:rsid w:val="000C2E41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spacing w:after="0" w:line="240" w:lineRule="auto"/>
      <w:jc w:val="both"/>
    </w:pPr>
    <w:rPr>
      <w:rFonts w:ascii="CG Times" w:eastAsia="Times New Roman" w:hAnsi="CG Times" w:cs="Times New Roman"/>
      <w:sz w:val="24"/>
      <w:szCs w:val="20"/>
      <w:lang w:val="en-US" w:eastAsia="cs-CZ"/>
      <w14:ligatures w14:val="none"/>
    </w:rPr>
  </w:style>
  <w:style w:type="paragraph" w:styleId="NoSpacing">
    <w:name w:val="No Spacing"/>
    <w:link w:val="NoSpacingChar"/>
    <w:uiPriority w:val="1"/>
    <w:qFormat/>
    <w:rsid w:val="00B85225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5225"/>
    <w:rPr>
      <w:rFonts w:eastAsiaTheme="minorEastAsia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7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65"/>
  </w:style>
  <w:style w:type="paragraph" w:styleId="Footer">
    <w:name w:val="footer"/>
    <w:basedOn w:val="Normal"/>
    <w:link w:val="FooterChar"/>
    <w:uiPriority w:val="99"/>
    <w:unhideWhenUsed/>
    <w:rsid w:val="006A7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6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01A0B-BDA9-43C9-99F7-274B00F4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22749</TotalTime>
  <Pages>6</Pages>
  <Words>1491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Bělohlávková</dc:creator>
  <cp:keywords/>
  <dc:description/>
  <cp:lastModifiedBy>Renata Bělohlávková</cp:lastModifiedBy>
  <cp:revision>52</cp:revision>
  <dcterms:created xsi:type="dcterms:W3CDTF">2025-02-06T12:40:00Z</dcterms:created>
  <dcterms:modified xsi:type="dcterms:W3CDTF">2025-03-14T20:26:00Z</dcterms:modified>
</cp:coreProperties>
</file>