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top w:val="single" w:color="000000" w:sz="4" w:space="1"/>
          <w:left w:val="single" w:color="000000" w:sz="4" w:space="4"/>
          <w:bottom w:val="single" w:color="000000" w:sz="4" w:space="1"/>
          <w:right w:val="single" w:color="000000" w:sz="4" w:space="4"/>
          <w:between w:val="single" w:color="000000" w:sz="4" w:space="1"/>
          <w:bar w:val="single" w:color="000000" w:sz="4" w:space="0"/>
        </w:pBdr>
        <w:pStyle w:val="Normal"/>
        <w:spacing w:after="80"/>
        <w:ind/>
        <w:rPr/>
      </w:pPr>
      <w:r>
        <w:rPr>
          <w:rFonts w:ascii="Calibri" w:eastAsia="Calibri" w:hAnsi="Calibri" w:cs="Calibri"/>
          <w:b/>
          <w:bCs/>
          <w:color w:val="1A2540"/>
          <w:sz w:val="28"/>
          <w:szCs w:val="28"/>
        </w:rPr>
        <w:t xml:space="preserve">RE Partition Tool — Field Reference V1.2</w:t>
      </w:r>
    </w:p>
    <w:p>
      <w:pPr>
        <w:pBdr/>
        <w:pStyle w:val="Normal"/>
        <w:spacing w:after="200"/>
        <w:ind/>
        <w:rPr/>
      </w:pPr>
      <w:r>
        <w:rPr>
          <w:rFonts w:ascii="Calibri" w:eastAsia="Calibri" w:hAnsi="Calibri" w:cs="Calibri"/>
          <w:color w:val="666666"/>
        </w:rPr>
        <w:t xml:space="preserve">Every field the tool uses, its source, and the formula applied — v7.2</w:t>
      </w:r>
    </w:p>
    <w:p>
      <w:pPr>
        <w:pBdr/>
        <w:pStyle w:val="Normal"/>
        <w:spacing w:before="160" w:after="200"/>
        <w:ind/>
        <w:rPr/>
      </w:pPr>
      <w:r>
        <w:rPr>
          <w:rFonts w:ascii="Calibri" w:eastAsia="Calibri" w:hAnsi="Calibri" w:cs="Calibri"/>
          <w:b/>
          <w:bCs/>
          <w:color w:val="222222"/>
          <w:sz w:val="18"/>
          <w:szCs w:val="18"/>
        </w:rPr>
        <w:t xml:space="preserve">Source key:  </w:t>
      </w:r>
      <w:r>
        <w:rPr>
          <w:rFonts w:ascii="Calibri" w:eastAsia="Calibri" w:hAnsi="Calibri" w:cs="Calibri"/>
          <w:b/>
          <w:bCs/>
          <w:color w:val="C8541A"/>
          <w:sz w:val="18"/>
          <w:szCs w:val="18"/>
        </w:rPr>
        <w:t xml:space="preserve">↑ Uploaded</w:t>
      </w:r>
      <w:r>
        <w:rPr>
          <w:rFonts w:ascii="Calibri" w:eastAsia="Calibri" w:hAnsi="Calibri" w:cs="Calibri"/>
          <w:color w:val="444444"/>
          <w:sz w:val="18"/>
          <w:szCs w:val="18"/>
        </w:rPr>
        <w:t xml:space="preserve"> = value comes from the Excel import table.  Calculated = derived by the tool from uploaded values.  Tool input = entered by the user in the tool interface, not imported.</w:t>
      </w:r>
    </w:p>
    <w:p>
      <w:pPr>
        <w:pBdr/>
        <w:pStyle w:val="Normal"/>
        <w:spacing w:before="160" w:after="200"/>
        <w:ind/>
        <w:rPr/>
      </w:pPr>
      <w:r>
        <w:rPr>
          <w:rFonts w:ascii="Calibri" w:eastAsia="Calibri" w:hAnsi="Calibri" w:cs="Calibri"/>
          <w:b/>
          <w:color w:val="222222"/>
          <w:sz w:val="18"/>
        </w:rPr>
        <w:t xml:space="preserve">Reference Name key:  </w:t>
      </w:r>
      <w:r>
        <w:rPr>
          <w:rFonts w:ascii="Calibri" w:eastAsia="Calibri" w:hAnsi="Calibri" w:cs="Calibri"/>
          <w:b/>
          <w:color w:val="C8541A"/>
          <w:sz w:val="18"/>
        </w:rPr>
        <w:t xml:space="preserve">orange, bold</w:t>
      </w:r>
      <w:r>
        <w:rPr>
          <w:rFonts w:ascii="Calibri" w:eastAsia="Calibri" w:hAnsi="Calibri" w:cs="Calibri"/>
          <w:color w:val="444444"/>
          <w:sz w:val="18"/>
        </w:rPr>
        <w:t xml:space="preserve"> = confirmed against the v7.4 tool’s actual field/import names.  </w:t>
      </w:r>
      <w:r>
        <w:rPr>
          <w:rFonts w:ascii="Calibri" w:eastAsia="Calibri" w:hAnsi="Calibri" w:cs="Calibri"/>
          <w:i/>
          <w:color w:val="6B6B6B"/>
          <w:sz w:val="18"/>
        </w:rPr>
        <w:t xml:space="preserve">gray, italic</w:t>
      </w:r>
      <w:r>
        <w:rPr>
          <w:rFonts w:ascii="Calibri" w:eastAsia="Calibri" w:hAnsi="Calibri" w:cs="Calibri"/>
          <w:color w:val="444444"/>
          <w:sz w:val="18"/>
        </w:rPr>
        <w:t xml:space="preserve"> = proposed for this version — no equivalent field exists in v7.4.</w:t>
      </w:r>
    </w:p>
    <w:tbl>
      <w:tblPr>
        <w:tblW w:w="14030" w:type="dxa"/>
        <w:jc w:val="left"/>
        <w:tblInd w:w="0" w:type="dxa"/>
        <w:tblCellMar>
          <w:top w:w="0" w:type="dxa"/>
          <w:left w:w="10" w:type="dxa"/>
          <w:bottom w:w="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717"/>
        <w:gridCol w:w="1412"/>
        <w:gridCol w:w="1378"/>
        <w:gridCol w:w="1697"/>
        <w:gridCol w:w="1321"/>
        <w:gridCol w:w="978"/>
        <w:gridCol w:w="2881"/>
        <w:gridCol w:w="489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blHeader/>
        </w:trPr>
        <w:tc>
          <w:tcPr>
            <w:tcW w:w="658" w:type="dxa"/>
            <w:tcBorders/>
            <w:shd w:fill="1A2540" w:color="auto" w:val="clear"/>
            <w:vAlign w:val="top"/>
          </w:tcPr>
          <w:p>
            <w:pPr>
              <w:pBdr/>
              <w:pStyle w:val="Normal"/>
              <w:spacing/>
              <w:ind/>
              <w:jc w:val="center"/>
              <w:rPr>
                <w:rFonts w:ascii="Calibri" w:eastAsia="Calibri" w:hAnsi="Calibri" w:cs="Calibri"/>
                <w:b/>
                <w:bCs/>
                <w:color w:val="FFFFFF"/>
                <w:sz w:val="19"/>
                <w:szCs w:val="19"/>
              </w:rPr>
            </w:pPr>
          </w:p>
        </w:tc>
        <w:tc>
          <w:tcPr>
            <w:tcW w:w="2561" w:type="dxa"/>
            <w:tcMar>
              <w:top w:w="60" w:type="dxa"/>
              <w:left w:w="100" w:type="dxa"/>
              <w:bottom w:w="60" w:type="dxa"/>
              <w:right w:w="100" w:type="dxa"/>
            </w:tcMar>
            <w:tcBorders/>
            <w:shd w:fill="1A2540" w:color="auto" w:val="clear"/>
            <w:vAlign w:val="top"/>
            <w:gridSpan w:val="2"/>
          </w:tcPr>
          <w:p>
            <w:pPr>
              <w:pBdr/>
              <w:pStyle w:val="Normal"/>
              <w:spacing/>
              <w:ind/>
              <w:rPr/>
            </w:pPr>
            <w:r>
              <w:rPr>
                <w:rFonts w:ascii="Calibri" w:eastAsia="Calibri" w:hAnsi="Calibri" w:cs="Calibri"/>
                <w:b/>
                <w:bCs/>
                <w:color w:val="FFFFFF"/>
                <w:sz w:val="19"/>
                <w:szCs w:val="19"/>
              </w:rPr>
              <w:t xml:space="preserve">Field</w:t>
            </w:r>
          </w:p>
        </w:tc>
        <w:tc>
          <w:tcPr>
            <w:tcW w:w="1558" w:type="dxa"/>
            <w:tcBorders/>
            <w:shd w:fill="1A2540" w:color="auto" w:val="clear"/>
            <w:vAlign w:val="top"/>
          </w:tcPr>
          <w:p>
            <w:pPr>
              <w:pBdr/>
              <w:pStyle w:val="Normal"/>
              <w:spacing/>
              <w:ind/>
              <w:jc w:val="center"/>
              <w:rPr>
                <w:rFonts w:ascii="Calibri" w:eastAsia="Calibri" w:hAnsi="Calibri" w:cs="Calibri"/>
                <w:b/>
                <w:bCs/>
                <w:color w:val="FFFFFF"/>
                <w:sz w:val="19"/>
                <w:szCs w:val="19"/>
              </w:rPr>
            </w:pPr>
            <w:r>
              <w:rPr>
                <w:rFonts w:ascii="Calibri" w:eastAsia="Calibri" w:hAnsi="Calibri" w:cs="Calibri"/>
                <w:b/>
                <w:bCs/>
                <w:color w:val="FFFFFF"/>
                <w:sz w:val="19"/>
                <w:szCs w:val="19"/>
              </w:rPr>
              <w:t xml:space="preserve">Reference Name</w:t>
            </w:r>
          </w:p>
        </w:tc>
        <w:tc>
          <w:tcPr>
            <w:tcW w:w="1213" w:type="dxa"/>
            <w:tcMar>
              <w:top w:w="60" w:type="dxa"/>
              <w:left w:w="100" w:type="dxa"/>
              <w:bottom w:w="60" w:type="dxa"/>
              <w:right w:w="100" w:type="dxa"/>
            </w:tcMar>
            <w:tcBorders/>
            <w:shd w:fill="1A2540" w:color="auto" w:val="clear"/>
            <w:vAlign w:val="top"/>
          </w:tcPr>
          <w:p>
            <w:pPr>
              <w:pBdr/>
              <w:pStyle w:val="Normal"/>
              <w:spacing/>
              <w:ind/>
              <w:rPr/>
            </w:pPr>
            <w:r>
              <w:rPr>
                <w:rFonts w:ascii="Calibri" w:eastAsia="Calibri" w:hAnsi="Calibri" w:cs="Calibri"/>
                <w:b/>
                <w:bCs/>
                <w:color w:val="FFFFFF"/>
                <w:sz w:val="19"/>
                <w:szCs w:val="19"/>
              </w:rPr>
              <w:t xml:space="preserve">Source</w:t>
            </w:r>
          </w:p>
        </w:tc>
        <w:tc>
          <w:tcPr>
            <w:tcW w:w="898" w:type="dxa"/>
            <w:tcBorders/>
            <w:shd w:fill="1A2540" w:color="auto" w:val="clear"/>
            <w:vAlign w:val="top"/>
          </w:tcPr>
          <w:p>
            <w:pPr>
              <w:pBdr/>
              <w:pStyle w:val="Normal"/>
              <w:spacing/>
              <w:ind/>
              <w:jc w:val="center"/>
              <w:rPr>
                <w:rFonts w:ascii="Calibri" w:eastAsia="Calibri" w:hAnsi="Calibri" w:cs="Calibri"/>
                <w:b/>
                <w:bCs/>
                <w:color w:val="FFFFFF"/>
                <w:sz w:val="19"/>
                <w:szCs w:val="19"/>
              </w:rPr>
            </w:pPr>
            <w:r>
              <w:rPr>
                <w:rFonts w:ascii="Calibri" w:eastAsia="Calibri" w:hAnsi="Calibri" w:cs="Calibri"/>
                <w:b/>
                <w:bCs/>
                <w:color w:val="FFFFFF"/>
                <w:sz w:val="19"/>
                <w:szCs w:val="19"/>
              </w:rPr>
              <w:t xml:space="preserve">Modifiable In Tool</w:t>
            </w:r>
          </w:p>
        </w:tc>
        <w:tc>
          <w:tcPr>
            <w:tcW w:w="7142" w:type="dxa"/>
            <w:tcMar>
              <w:top w:w="60" w:type="dxa"/>
              <w:left w:w="100" w:type="dxa"/>
              <w:bottom w:w="60" w:type="dxa"/>
              <w:right w:w="100" w:type="dxa"/>
            </w:tcMar>
            <w:tcBorders/>
            <w:shd w:fill="1A2540" w:color="auto" w:val="clear"/>
            <w:vAlign w:val="top"/>
            <w:gridSpan w:val="2"/>
          </w:tcPr>
          <w:p>
            <w:pPr>
              <w:pBdr/>
              <w:pStyle w:val="Normal"/>
              <w:spacing/>
              <w:ind/>
              <w:rPr/>
            </w:pPr>
            <w:r>
              <w:rPr>
                <w:rFonts w:ascii="Calibri" w:eastAsia="Calibri" w:hAnsi="Calibri" w:cs="Calibri"/>
                <w:b/>
                <w:bCs/>
                <w:color w:val="FFFFFF"/>
                <w:sz w:val="19"/>
                <w:szCs w:val="19"/>
              </w:rPr>
              <w:t xml:space="preserve">Formula / Notes</w:t>
            </w:r>
          </w:p>
        </w:tc>
      </w:tr>
      <w:tr>
        <w:tblPrEx>
          <w:tblBorders>
            <w:top w:val="none" w:sz="0" w:space="0"/>
            <w:left w:val="none" w:sz="0" w:space="0"/>
            <w:bottom w:val="none" w:sz="0" w:space="0"/>
            <w:right w:val="none" w:sz="0" w:space="0"/>
            <w:insideH w:val="none" w:sz="0" w:space="0"/>
            <w:insideV w:val="none" w:sz="0" w:space="0"/>
          </w:tblBorders>
          <w:tblCellMar>
            <w:left w:w="10" w:type="dxa"/>
            <w:right w:w="10" w:type="dxa"/>
          </w:tblCellMar>
        </w:tblPrEx>
        <w:trPr>
          <w:trHeight w:hRule="atLeast" w:val="20"/>
        </w:trPr>
        <w:tc>
          <w:tcPr>
            <w:tcW w:w="658" w:type="dxa"/>
            <w:tcBorders>
              <w:top w:val="single" w:color="000000" w:sz="4" w:space="0"/>
              <w:left w:val="single" w:color="000000" w:sz="4" w:space="0"/>
              <w:bottom w:val="single" w:color="000000" w:sz="4" w:space="0"/>
              <w:right w:val="single" w:color="000000" w:sz="4" w:space="0"/>
            </w:tcBorders>
            <w:shd w:fill="B4C6E7"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A</w:t>
            </w:r>
          </w:p>
        </w:tc>
        <w:tc>
          <w:tcPr>
            <w:tcW w:w="2561" w:type="dxa"/>
            <w:tcMar>
              <w:top w:w="60" w:type="dxa"/>
              <w:left w:w="100" w:type="dxa"/>
              <w:bottom w:w="60" w:type="dxa"/>
              <w:right w:w="100" w:type="dxa"/>
            </w:tcMar>
            <w:tcBorders>
              <w:top w:val="single" w:color="000000" w:sz="4" w:space="0"/>
              <w:left w:val="single" w:color="000000" w:sz="4" w:space="0"/>
              <w:bottom w:val="single" w:color="000000" w:sz="4" w:space="0"/>
              <w:right w:val="single" w:color="000000" w:sz="4" w:space="0"/>
            </w:tcBorders>
            <w:shd w:fill="B4C6E7" w:color="auto" w:val="clear"/>
            <w:vAlign w:val="top"/>
            <w:gridSpan w:val="2"/>
          </w:tcPr>
          <w:p>
            <w:pPr>
              <w:pBdr/>
              <w:pStyle w:val="Normal"/>
              <w:spacing/>
              <w:ind/>
              <w:rPr>
                <w:rFonts w:ascii="Calibri" w:eastAsia="Calibri" w:hAnsi="Calibri" w:cs="Calibri"/>
                <w:b/>
                <w:bCs/>
                <w:color w:val="1A2540"/>
                <w:sz w:val="18"/>
                <w:szCs w:val="18"/>
              </w:rPr>
            </w:pPr>
            <w:r>
              <w:rPr>
                <w:rFonts w:ascii="Calibri" w:eastAsia="Calibri" w:hAnsi="Calibri" w:cs="Calibri"/>
                <w:b/>
                <w:bCs/>
                <w:color w:val="1A2540"/>
                <w:sz w:val="18"/>
                <w:szCs w:val="18"/>
              </w:rPr>
              <w:t xml:space="preserve">GLOBAL INFORMATION</w:t>
            </w:r>
          </w:p>
        </w:tc>
        <w:tc>
          <w:tcPr>
            <w:tcW w:w="1558" w:type="dxa"/>
            <w:tcBorders>
              <w:top w:val="single" w:color="000000" w:sz="4" w:space="0"/>
              <w:left w:val="single" w:color="000000" w:sz="4" w:space="0"/>
              <w:bottom w:val="single" w:color="000000" w:sz="4" w:space="0"/>
              <w:right w:val="single" w:color="000000" w:sz="4" w:space="0"/>
            </w:tcBorders>
            <w:shd w:fill="B4C6E7" w:color="auto" w:val="clear"/>
            <w:vAlign w:val="top"/>
          </w:tcPr>
          <w:p>
            <w:pPr>
              <w:pBdr/>
              <w:pStyle w:val="Normal"/>
              <w:spacing/>
              <w:ind/>
              <w:jc w:val="center"/>
              <w:rPr>
                <w:rFonts w:ascii="Calibri" w:eastAsia="Calibri" w:hAnsi="Calibri" w:cs="Calibri"/>
                <w:b/>
                <w:bCs/>
                <w:color w:val="1A2540"/>
                <w:sz w:val="18"/>
                <w:szCs w:val="18"/>
              </w:rPr>
            </w:pPr>
          </w:p>
        </w:tc>
        <w:tc>
          <w:tcPr>
            <w:tcW w:w="1213" w:type="dxa"/>
            <w:tcMar>
              <w:top w:w="60" w:type="dxa"/>
              <w:left w:w="100" w:type="dxa"/>
              <w:bottom w:w="60" w:type="dxa"/>
              <w:right w:w="100" w:type="dxa"/>
            </w:tcMar>
            <w:tcBorders>
              <w:top w:val="single" w:color="000000" w:sz="4" w:space="0"/>
              <w:left w:val="single" w:color="000000" w:sz="4" w:space="0"/>
              <w:bottom w:val="single" w:color="000000" w:sz="4" w:space="0"/>
              <w:right w:val="single" w:color="000000" w:sz="4" w:space="0"/>
            </w:tcBorders>
            <w:shd w:fill="B4C6E7" w:color="auto" w:val="clear"/>
            <w:vAlign w:val="top"/>
          </w:tcPr>
          <w:p>
            <w:pPr>
              <w:pBdr/>
              <w:pStyle w:val="Normal"/>
              <w:spacing/>
              <w:ind/>
              <w:jc w:val="center"/>
              <w:rPr>
                <w:rFonts w:ascii="Calibri" w:eastAsia="Calibri" w:hAnsi="Calibri" w:cs="Calibri"/>
                <w:b/>
                <w:bCs/>
                <w:color w:val="1A2540"/>
                <w:sz w:val="18"/>
                <w:szCs w:val="18"/>
              </w:rPr>
            </w:pPr>
          </w:p>
        </w:tc>
        <w:tc>
          <w:tcPr>
            <w:tcW w:w="898" w:type="dxa"/>
            <w:tcBorders>
              <w:top w:val="single" w:color="000000" w:sz="4" w:space="0"/>
              <w:left w:val="single" w:color="000000" w:sz="4" w:space="0"/>
              <w:bottom w:val="single" w:color="000000" w:sz="4" w:space="0"/>
              <w:right w:val="single" w:color="000000" w:sz="4" w:space="0"/>
            </w:tcBorders>
            <w:shd w:fill="B4C6E7" w:color="auto" w:val="clear"/>
            <w:vAlign w:val="top"/>
          </w:tcPr>
          <w:p>
            <w:pPr>
              <w:pBdr/>
              <w:pStyle w:val="Normal"/>
              <w:spacing/>
              <w:ind/>
              <w:jc w:val="center"/>
              <w:rPr>
                <w:rFonts w:ascii="Calibri" w:eastAsia="Calibri" w:hAnsi="Calibri" w:cs="Calibri"/>
                <w:b/>
                <w:bCs/>
                <w:color w:val="1A2540"/>
                <w:sz w:val="18"/>
                <w:szCs w:val="18"/>
              </w:rPr>
            </w:pPr>
          </w:p>
        </w:tc>
        <w:tc>
          <w:tcPr>
            <w:tcW w:w="7142" w:type="dxa"/>
            <w:tcMar>
              <w:top w:w="60" w:type="dxa"/>
              <w:left w:w="100" w:type="dxa"/>
              <w:bottom w:w="60" w:type="dxa"/>
              <w:right w:w="100" w:type="dxa"/>
            </w:tcMar>
            <w:tcBorders>
              <w:top w:val="single" w:color="000000" w:sz="4" w:space="0"/>
              <w:left w:val="single" w:color="000000" w:sz="4" w:space="0"/>
              <w:bottom w:val="single" w:color="000000" w:sz="4" w:space="0"/>
              <w:right w:val="single" w:color="000000" w:sz="4" w:space="0"/>
            </w:tcBorders>
            <w:shd w:fill="B4C6E7" w:color="auto" w:val="clear"/>
            <w:vAlign w:val="top"/>
            <w:gridSpan w:val="2"/>
          </w:tcPr>
          <w:p>
            <w:pPr>
              <w:pBdr/>
              <w:pStyle w:val="Normal"/>
              <w:spacing/>
              <w:ind/>
              <w:jc w:val="center"/>
              <w:rPr>
                <w:rFonts w:ascii="Calibri" w:eastAsia="Calibri" w:hAnsi="Calibri" w:cs="Calibri"/>
                <w:b/>
                <w:bCs/>
                <w:color w:val="1A2540"/>
                <w:sz w:val="18"/>
                <w:szCs w:val="18"/>
              </w:rPr>
            </w:pPr>
          </w:p>
        </w:tc>
      </w:tr>
      <w:tr>
        <w:tblPrEx>
          <w:tblBorders>
            <w:top w:val="none" w:sz="0" w:space="0"/>
            <w:left w:val="none" w:sz="0" w:space="0"/>
            <w:bottom w:val="none" w:sz="0" w:space="0"/>
            <w:right w:val="none" w:sz="0" w:space="0"/>
            <w:insideH w:val="none" w:sz="0" w:space="0"/>
            <w:insideV w:val="none" w:sz="0" w:space="0"/>
          </w:tblBorders>
          <w:tblCellMar>
            <w:left w:w="10" w:type="dxa"/>
            <w:right w:w="10" w:type="dxa"/>
          </w:tblCellMar>
        </w:tblPrEx>
        <w:trPr>
          <w:trHeight w:hRule="atLeast" w:val="20"/>
        </w:trPr>
        <w:tc>
          <w:tcPr>
            <w:tcW w:w="658" w:type="dxa"/>
            <w:tcBorders>
              <w:bottom w:val="single" w:color="000000" w:sz="4" w:space="0"/>
            </w:tcBorders>
            <w:shd w:fill="C8541A" w:color="auto" w:val="clear"/>
            <w:vAlign w:val="top"/>
          </w:tcPr>
          <w:p>
            <w:pPr>
              <w:pBdr/>
              <w:pStyle w:val="Normal"/>
              <w:spacing/>
              <w:ind/>
              <w:jc w:val="center"/>
              <w:rPr>
                <w:rFonts w:ascii="Calibri" w:hAnsi="Calibri" w:cs="Calibri"/>
                <w:color w:val="FFFFFF"/>
                <w:sz w:val="18"/>
                <w:szCs w:val="18"/>
              </w:rPr>
            </w:pPr>
            <w:r>
              <w:rPr>
                <w:rFonts w:ascii="Calibri" w:hAnsi="Calibri" w:cs="Calibri"/>
                <w:color w:val="FFFFFF"/>
                <w:sz w:val="18"/>
                <w:szCs w:val="18"/>
              </w:rPr>
              <w:t xml:space="preserve">1</w:t>
            </w:r>
          </w:p>
        </w:tc>
        <w:tc>
          <w:tcPr>
            <w:tcW w:w="2561" w:type="dxa"/>
            <w:tcMar>
              <w:top w:w="60" w:type="dxa"/>
              <w:left w:w="100" w:type="dxa"/>
              <w:bottom w:w="60" w:type="dxa"/>
              <w:right w:w="100" w:type="dxa"/>
            </w:tcMar>
            <w:tcBorders>
              <w:bottom w:val="single" w:color="000000" w:sz="4" w:space="0"/>
            </w:tcBorders>
            <w:shd w:fill="C8541A" w:color="auto" w:val="clear"/>
            <w:vAlign w:val="top"/>
            <w:gridSpan w:val="2"/>
          </w:tcPr>
          <w:p>
            <w:pPr>
              <w:pBdr/>
              <w:pStyle w:val="Normal"/>
              <w:spacing/>
              <w:ind/>
              <w:rPr/>
            </w:pPr>
            <w:r>
              <w:rPr>
                <w:rFonts w:ascii="Calibri" w:hAnsi="Calibri" w:cs="Calibri"/>
                <w:color w:val="FFFFFF"/>
                <w:sz w:val="18"/>
                <w:szCs w:val="18"/>
              </w:rPr>
              <w:t xml:space="preserve">A.  PROPERTY IDENTIFICATION</w:t>
            </w:r>
          </w:p>
        </w:tc>
        <w:tc>
          <w:tcPr>
            <w:tcW w:w="1558" w:type="dxa"/>
            <w:tcBorders>
              <w:bottom w:val="single" w:color="000000" w:sz="4" w:space="0"/>
            </w:tcBorders>
            <w:shd w:fill="C8541A" w:color="auto" w:val="clear"/>
            <w:vAlign w:val="top"/>
          </w:tcPr>
          <w:p>
            <w:pPr>
              <w:pBdr/>
              <w:pStyle w:val="Normal"/>
              <w:spacing/>
              <w:ind/>
              <w:jc w:val="center"/>
              <w:rPr/>
            </w:pPr>
          </w:p>
        </w:tc>
        <w:tc>
          <w:tcPr>
            <w:tcW w:w="1213" w:type="dxa"/>
            <w:tcMar>
              <w:top w:w="60" w:type="dxa"/>
              <w:left w:w="100" w:type="dxa"/>
              <w:bottom w:w="60" w:type="dxa"/>
              <w:right w:w="100" w:type="dxa"/>
            </w:tcMar>
            <w:tcBorders>
              <w:bottom w:val="single" w:color="000000" w:sz="4" w:space="0"/>
            </w:tcBorders>
            <w:shd w:fill="C8541A" w:color="auto" w:val="clear"/>
            <w:vAlign w:val="top"/>
          </w:tcPr>
          <w:p>
            <w:pPr>
              <w:pBdr/>
              <w:pStyle w:val="Normal"/>
              <w:spacing/>
              <w:ind/>
              <w:rPr/>
            </w:pPr>
          </w:p>
        </w:tc>
        <w:tc>
          <w:tcPr>
            <w:tcW w:w="898" w:type="dxa"/>
            <w:tcBorders>
              <w:bottom w:val="single" w:color="000000" w:sz="4" w:space="0"/>
            </w:tcBorders>
            <w:shd w:fill="C8541A" w:color="auto" w:val="clear"/>
            <w:vAlign w:val="top"/>
          </w:tcPr>
          <w:p>
            <w:pPr>
              <w:pBdr/>
              <w:pStyle w:val="Normal"/>
              <w:spacing/>
              <w:ind/>
              <w:jc w:val="center"/>
              <w:rPr/>
            </w:pPr>
          </w:p>
        </w:tc>
        <w:tc>
          <w:tcPr>
            <w:tcW w:w="7142" w:type="dxa"/>
            <w:tcMar>
              <w:top w:w="60" w:type="dxa"/>
              <w:left w:w="100" w:type="dxa"/>
              <w:bottom w:w="60" w:type="dxa"/>
              <w:right w:w="100" w:type="dxa"/>
            </w:tcMar>
            <w:tcBorders>
              <w:bottom w:val="single" w:color="000000" w:sz="4" w:space="0"/>
            </w:tcBorders>
            <w:shd w:fill="C8541A" w:color="auto" w:val="clear"/>
            <w:vAlign w:val="top"/>
            <w:gridSpan w:val="2"/>
          </w:tcPr>
          <w:p>
            <w:pPr>
              <w:pBdr/>
              <w:pStyle w:val="Normal"/>
              <w:spacing/>
              <w:ind/>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top w:val="single" w:color="000000" w:sz="4" w:space="0"/>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2</w:t>
            </w:r>
          </w:p>
        </w:tc>
        <w:tc>
          <w:tcPr>
            <w:tcW w:w="2561" w:type="dxa"/>
            <w:tcMar>
              <w:top w:w="60" w:type="dxa"/>
              <w:left w:w="100" w:type="dxa"/>
              <w:bottom w:w="60" w:type="dxa"/>
              <w:right w:w="100" w:type="dxa"/>
            </w:tcMar>
            <w:tcBorders>
              <w:top w:val="single" w:color="000000" w:sz="4" w:space="0"/>
            </w:tcBorders>
            <w:shd w:fill="F2F2F0" w:color="auto" w:val="clear"/>
            <w:vAlign w:val="top"/>
            <w:gridSpan w:val="2"/>
          </w:tcPr>
          <w:p>
            <w:pPr>
              <w:pBdr/>
              <w:pStyle w:val="Normal"/>
              <w:spacing/>
              <w:ind/>
              <w:rPr/>
            </w:pPr>
            <w:r>
              <w:rPr>
                <w:rFonts w:ascii="Calibri" w:hAnsi="Calibri" w:cs="Calibri"/>
                <w:b/>
                <w:bCs/>
                <w:color w:val="1A2540"/>
                <w:sz w:val="18"/>
                <w:szCs w:val="18"/>
              </w:rPr>
              <w:t xml:space="preserve">Name</w:t>
            </w:r>
          </w:p>
        </w:tc>
        <w:tc>
          <w:tcPr>
            <w:tcW w:w="1558" w:type="dxa"/>
            <w:tcBorders>
              <w:top w:val="single" w:color="000000" w:sz="4" w:space="0"/>
            </w:tcBorders>
            <w:shd w:fill="F2F2F0"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b/>
                <w:bCs/>
                <w:color w:val="C8541A"/>
                <w:sz w:val="18"/>
                <w:szCs w:val="18"/>
              </w:rPr>
              <w:t xml:space="preserve">name</w:t>
            </w:r>
          </w:p>
        </w:tc>
        <w:tc>
          <w:tcPr>
            <w:tcW w:w="1213" w:type="dxa"/>
            <w:tcMar>
              <w:top w:w="60" w:type="dxa"/>
              <w:left w:w="100" w:type="dxa"/>
              <w:bottom w:w="60" w:type="dxa"/>
              <w:right w:w="100" w:type="dxa"/>
            </w:tcMar>
            <w:tcBorders>
              <w:top w:val="single" w:color="000000" w:sz="4" w:space="0"/>
            </w:tcBorders>
            <w:shd w:fill="F2F2F0" w:color="auto" w:val="clear"/>
            <w:vAlign w:val="top"/>
          </w:tcPr>
          <w:p>
            <w:pPr>
              <w:pBdr/>
              <w:pStyle w:val="Normal"/>
              <w:spacing/>
              <w:ind/>
              <w:rPr/>
            </w:pPr>
            <w:r>
              <w:rPr>
                <w:rFonts w:ascii="Calibri" w:eastAsia="Calibri" w:hAnsi="Calibri" w:cs="Calibri"/>
                <w:b/>
                <w:bCs/>
                <w:color w:val="C8541A"/>
                <w:sz w:val="18"/>
                <w:szCs w:val="18"/>
              </w:rPr>
              <w:t xml:space="preserve">↑ Uploaded</w:t>
            </w:r>
          </w:p>
        </w:tc>
        <w:tc>
          <w:tcPr>
            <w:tcW w:w="898" w:type="dxa"/>
            <w:tcBorders>
              <w:top w:val="single" w:color="000000" w:sz="4" w:space="0"/>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Y</w:t>
            </w:r>
          </w:p>
        </w:tc>
        <w:tc>
          <w:tcPr>
            <w:tcW w:w="7142" w:type="dxa"/>
            <w:tcMar>
              <w:top w:w="60" w:type="dxa"/>
              <w:left w:w="100" w:type="dxa"/>
              <w:bottom w:w="60" w:type="dxa"/>
              <w:right w:w="100" w:type="dxa"/>
            </w:tcMar>
            <w:tcBorders>
              <w:top w:val="single" w:color="000000" w:sz="4" w:space="0"/>
            </w:tcBorders>
            <w:shd w:fill="F2F2F0" w:color="auto" w:val="clear"/>
            <w:vAlign w:val="top"/>
            <w:gridSpan w:val="2"/>
          </w:tcPr>
          <w:p>
            <w:pPr>
              <w:pBdr/>
              <w:pStyle w:val="Normal"/>
              <w:spacing/>
              <w:ind/>
              <w:rPr/>
            </w:pPr>
            <w:r>
              <w:rPr>
                <w:rFonts w:ascii="Calibri" w:eastAsia="Calibri" w:hAnsi="Calibri" w:cs="Calibri"/>
                <w:color w:val="222222"/>
                <w:sz w:val="18"/>
                <w:szCs w:val="18"/>
              </w:rPr>
              <w:t xml:space="preserve">Property name or address. Used as the display label throughout the tool.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3</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hAnsi="Calibri" w:cs="Calibri"/>
                <w:b/>
                <w:bCs/>
                <w:color w:val="1A2540"/>
                <w:sz w:val="18"/>
                <w:szCs w:val="18"/>
              </w:rPr>
              <w:t xml:space="preserve">Assign</w:t>
            </w:r>
          </w:p>
        </w:tc>
        <w:tc>
          <w:tcPr>
            <w:tcW w:w="1558" w:type="dxa"/>
            <w:tcBorders/>
            <w:shd w:fill="FFFFFF"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b/>
                <w:bCs/>
                <w:color w:val="C8541A"/>
                <w:sz w:val="18"/>
                <w:szCs w:val="18"/>
              </w:rPr>
              <w:t xml:space="preserve">assign</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b/>
                <w:bCs/>
                <w:color w:val="C8541A"/>
                <w:sz w:val="18"/>
                <w:szCs w:val="18"/>
              </w:rPr>
              <w:t xml:space="preserve">↑ Uploaded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color w:val="222222"/>
                <w:sz w:val="18"/>
                <w:szCs w:val="18"/>
              </w:rPr>
              <w:t xml:space="preserve">"a" or "b" — which partner receives this property. Controls partner panel totals and proportionality meters.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color w:val="1A2540"/>
                <w:sz w:val="18"/>
                <w:szCs w:val="18"/>
              </w:rPr>
            </w:pPr>
            <w:r>
              <w:rPr>
                <w:rFonts w:ascii="Calibri" w:hAnsi="Calibri" w:cs="Calibri"/>
                <w:color w:val="1A2540"/>
                <w:sz w:val="18"/>
                <w:szCs w:val="18"/>
              </w:rPr>
              <w:t xml:space="preserve">4</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rFonts w:ascii="Calibri" w:hAnsi="Calibri" w:cs="Calibri"/>
                <w:b/>
                <w:bCs/>
                <w:color w:val="EE0000"/>
                <w:sz w:val="18"/>
                <w:szCs w:val="18"/>
              </w:rPr>
            </w:pPr>
            <w:r>
              <w:rPr>
                <w:rFonts w:ascii="Calibri" w:eastAsia="Calibri" w:hAnsi="Calibri" w:cs="Calibri"/>
                <w:b/>
                <w:bCs/>
                <w:color w:val="1A2540"/>
                <w:sz w:val="18"/>
                <w:szCs w:val="18"/>
              </w:rPr>
              <w:t xml:space="preserve">Market Discount Rate</w:t>
            </w:r>
          </w:p>
        </w:tc>
        <w:tc>
          <w:tcPr>
            <w:tcW w:w="1558" w:type="dxa"/>
            <w:tcBorders/>
            <w:shd w:fill="FFFFFF"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b/>
                <w:bCs/>
                <w:color w:val="C8541A"/>
                <w:sz w:val="18"/>
                <w:szCs w:val="18"/>
              </w:rPr>
              <w:t xml:space="preserve">discount_rate</w:t>
            </w:r>
          </w:p>
        </w:tc>
        <w:tc>
          <w:tcPr>
            <w:tcW w:w="1213" w:type="dxa"/>
            <w:tcMar>
              <w:top w:w="60" w:type="dxa"/>
              <w:left w:w="100" w:type="dxa"/>
              <w:bottom w:w="60" w:type="dxa"/>
              <w:right w:w="100" w:type="dxa"/>
            </w:tcMar>
            <w:tcBorders/>
            <w:shd w:fill="FFFFFF" w:color="auto" w:val="clear"/>
            <w:vAlign w:val="top"/>
          </w:tcPr>
          <w:p>
            <w:pPr>
              <w:pBdr/>
              <w:pStyle w:val="Normal"/>
              <w:spacing/>
              <w:ind/>
              <w:rPr>
                <w:rFonts w:ascii="Calibri" w:eastAsia="Calibri" w:hAnsi="Calibri" w:cs="Calibri"/>
                <w:b/>
                <w:bCs/>
                <w:color w:val="C8541A"/>
                <w:sz w:val="18"/>
                <w:szCs w:val="18"/>
              </w:rPr>
            </w:pPr>
            <w:r>
              <w:rPr>
                <w:rFonts w:ascii="Calibri" w:eastAsia="Calibri" w:hAnsi="Calibri" w:cs="Calibri"/>
                <w:color w:val="444444"/>
                <w:sz w:val="18"/>
                <w:szCs w:val="18"/>
              </w:rPr>
              <w:t xml:space="preserve">Tool input</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Y</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rFonts w:ascii="Calibri" w:eastAsia="Calibri" w:hAnsi="Calibri" w:cs="Calibri"/>
                <w:color w:val="222222"/>
                <w:sz w:val="18"/>
                <w:szCs w:val="18"/>
              </w:rPr>
            </w:pPr>
            <w:r>
              <w:rPr>
                <w:rFonts w:ascii="Calibri" w:eastAsia="Calibri" w:hAnsi="Calibri" w:cs="Calibri"/>
                <w:color w:val="222222"/>
                <w:sz w:val="18"/>
                <w:szCs w:val="18"/>
              </w:rPr>
              <w:t xml:space="preserve">Set once in the tool header. Applied to every property's loan to compute Debt NPV. Represents today's market rate for comparable debt.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color w:val="1A2540"/>
                <w:sz w:val="18"/>
                <w:szCs w:val="18"/>
              </w:rPr>
            </w:pPr>
            <w:r>
              <w:rPr>
                <w:rFonts w:ascii="Calibri" w:hAnsi="Calibri" w:cs="Calibri"/>
                <w:color w:val="1A2540"/>
                <w:sz w:val="18"/>
                <w:szCs w:val="18"/>
              </w:rPr>
              <w:t xml:space="preserve">5</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rFonts w:ascii="Calibri" w:eastAsia="Calibri" w:hAnsi="Calibri" w:cs="Calibri"/>
                <w:b/>
                <w:bCs/>
                <w:color w:val="1A2540"/>
                <w:sz w:val="18"/>
                <w:szCs w:val="18"/>
              </w:rPr>
            </w:pPr>
            <w:r>
              <w:rPr>
                <w:rFonts w:ascii="Calibri" w:eastAsia="Calibri" w:hAnsi="Calibri" w:cs="Calibri"/>
                <w:b/>
                <w:bCs/>
                <w:color w:val="1A2540"/>
                <w:sz w:val="18"/>
                <w:szCs w:val="18"/>
              </w:rPr>
              <w:t xml:space="preserve">Cash &amp; Cash Equivalents</w:t>
            </w:r>
          </w:p>
        </w:tc>
        <w:tc>
          <w:tcPr>
            <w:tcW w:w="1558" w:type="dxa"/>
            <w:tcBorders/>
            <w:shd w:fill="FFFFFF"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i/>
                <w:iCs/>
                <w:color w:val="6B6B6B"/>
                <w:sz w:val="18"/>
                <w:szCs w:val="18"/>
              </w:rPr>
              <w:t xml:space="preserve">cash_equivalents</w:t>
            </w:r>
          </w:p>
        </w:tc>
        <w:tc>
          <w:tcPr>
            <w:tcW w:w="1213" w:type="dxa"/>
            <w:tcMar>
              <w:top w:w="60" w:type="dxa"/>
              <w:left w:w="100" w:type="dxa"/>
              <w:bottom w:w="60" w:type="dxa"/>
              <w:right w:w="100" w:type="dxa"/>
            </w:tcMar>
            <w:tcBorders/>
            <w:shd w:fill="FFFFFF" w:color="auto" w:val="clear"/>
            <w:vAlign w:val="top"/>
          </w:tcPr>
          <w:p>
            <w:pPr>
              <w:pBdr/>
              <w:pStyle w:val="Normal"/>
              <w:spacing/>
              <w:ind/>
              <w:rPr>
                <w:rFonts w:ascii="Calibri" w:eastAsia="Calibri" w:hAnsi="Calibri" w:cs="Calibri"/>
                <w:color w:val="444444"/>
                <w:sz w:val="18"/>
                <w:szCs w:val="18"/>
              </w:rPr>
            </w:pPr>
            <w:r>
              <w:rPr>
                <w:rFonts w:ascii="Calibri" w:eastAsia="Calibri" w:hAnsi="Calibri" w:cs="Calibri"/>
                <w:b/>
                <w:bCs/>
                <w:color w:val="C8541A"/>
                <w:sz w:val="18"/>
                <w:szCs w:val="18"/>
              </w:rPr>
              <w:t xml:space="preserve">↑ Uploaded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Y</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rFonts w:ascii="Calibri" w:eastAsia="Calibri" w:hAnsi="Calibri" w:cs="Calibri"/>
                <w:color w:val="222222"/>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B4C6E7"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6</w:t>
            </w:r>
          </w:p>
        </w:tc>
        <w:tc>
          <w:tcPr>
            <w:tcW w:w="2561" w:type="dxa"/>
            <w:tcMar>
              <w:top w:w="60" w:type="dxa"/>
              <w:left w:w="100" w:type="dxa"/>
              <w:bottom w:w="60" w:type="dxa"/>
              <w:right w:w="100" w:type="dxa"/>
            </w:tcMar>
            <w:tcBorders/>
            <w:shd w:fill="B4C6E7" w:color="auto" w:val="clear"/>
            <w:vAlign w:val="top"/>
            <w:gridSpan w:val="2"/>
          </w:tcPr>
          <w:p>
            <w:pPr>
              <w:pBdr/>
              <w:pStyle w:val="Normal"/>
              <w:spacing/>
              <w:ind/>
              <w:rPr>
                <w:rFonts w:ascii="Calibri" w:eastAsia="Calibri" w:hAnsi="Calibri" w:cs="Calibri"/>
                <w:b/>
                <w:bCs/>
                <w:color w:val="1A2540"/>
                <w:sz w:val="18"/>
                <w:szCs w:val="18"/>
              </w:rPr>
            </w:pPr>
            <w:r>
              <w:rPr>
                <w:rFonts w:ascii="Calibri" w:eastAsia="Calibri" w:hAnsi="Calibri" w:cs="Calibri"/>
                <w:b/>
                <w:bCs/>
                <w:color w:val="1A2540"/>
                <w:sz w:val="18"/>
                <w:szCs w:val="18"/>
              </w:rPr>
              <w:t xml:space="preserve">PROPERTY CARD</w:t>
            </w:r>
          </w:p>
        </w:tc>
        <w:tc>
          <w:tcPr>
            <w:tcW w:w="1558" w:type="dxa"/>
            <w:tcBorders/>
            <w:shd w:fill="B4C6E7" w:color="auto" w:val="clear"/>
            <w:vAlign w:val="top"/>
          </w:tcPr>
          <w:p>
            <w:pPr>
              <w:pBdr/>
              <w:pStyle w:val="Normal"/>
              <w:spacing/>
              <w:ind/>
              <w:jc w:val="center"/>
              <w:rPr>
                <w:rFonts w:ascii="Calibri" w:eastAsia="Calibri" w:hAnsi="Calibri" w:cs="Calibri"/>
                <w:color w:val="444444"/>
                <w:sz w:val="18"/>
                <w:szCs w:val="18"/>
              </w:rPr>
            </w:pPr>
          </w:p>
        </w:tc>
        <w:tc>
          <w:tcPr>
            <w:tcW w:w="1213" w:type="dxa"/>
            <w:tcMar>
              <w:top w:w="60" w:type="dxa"/>
              <w:left w:w="100" w:type="dxa"/>
              <w:bottom w:w="60" w:type="dxa"/>
              <w:right w:w="100" w:type="dxa"/>
            </w:tcMar>
            <w:tcBorders/>
            <w:shd w:fill="B4C6E7" w:color="auto" w:val="clear"/>
            <w:vAlign w:val="top"/>
          </w:tcPr>
          <w:p>
            <w:pPr>
              <w:pBdr/>
              <w:pStyle w:val="Normal"/>
              <w:spacing/>
              <w:ind/>
              <w:rPr>
                <w:rFonts w:ascii="Calibri" w:eastAsia="Calibri" w:hAnsi="Calibri" w:cs="Calibri"/>
                <w:color w:val="444444"/>
                <w:sz w:val="18"/>
                <w:szCs w:val="18"/>
              </w:rPr>
            </w:pPr>
          </w:p>
        </w:tc>
        <w:tc>
          <w:tcPr>
            <w:tcW w:w="898" w:type="dxa"/>
            <w:tcBorders/>
            <w:shd w:fill="B4C6E7" w:color="auto" w:val="clear"/>
            <w:vAlign w:val="top"/>
          </w:tcPr>
          <w:p>
            <w:pPr>
              <w:pBdr/>
              <w:pStyle w:val="Normal"/>
              <w:spacing/>
              <w:ind/>
              <w:jc w:val="center"/>
              <w:rPr>
                <w:rFonts w:ascii="Calibri" w:eastAsia="Calibri" w:hAnsi="Calibri" w:cs="Calibri"/>
                <w:color w:val="222222"/>
                <w:sz w:val="18"/>
                <w:szCs w:val="18"/>
              </w:rPr>
            </w:pPr>
          </w:p>
        </w:tc>
        <w:tc>
          <w:tcPr>
            <w:tcW w:w="7142" w:type="dxa"/>
            <w:tcMar>
              <w:top w:w="60" w:type="dxa"/>
              <w:left w:w="100" w:type="dxa"/>
              <w:bottom w:w="60" w:type="dxa"/>
              <w:right w:w="100" w:type="dxa"/>
            </w:tcMar>
            <w:tcBorders/>
            <w:shd w:fill="B4C6E7" w:color="auto" w:val="clear"/>
            <w:vAlign w:val="top"/>
            <w:gridSpan w:val="2"/>
          </w:tcPr>
          <w:p>
            <w:pPr>
              <w:pBdr/>
              <w:pStyle w:val="Normal"/>
              <w:spacing/>
              <w:ind/>
              <w:rPr>
                <w:rFonts w:ascii="Calibri" w:eastAsia="Calibri" w:hAnsi="Calibri" w:cs="Calibri"/>
                <w:color w:val="222222"/>
                <w:sz w:val="18"/>
                <w:szCs w:val="18"/>
              </w:rPr>
            </w:pPr>
          </w:p>
        </w:tc>
      </w:tr>
      <w:tr>
        <w:tblPrEx>
          <w:tblBorders>
            <w:top w:val="none" w:sz="0" w:space="0"/>
            <w:left w:val="none" w:sz="0" w:space="0"/>
            <w:bottom w:val="none" w:sz="0" w:space="0"/>
            <w:right w:val="none" w:sz="0" w:space="0"/>
            <w:insideH w:val="none" w:sz="0" w:space="0"/>
            <w:insideV w:val="none" w:sz="0" w:space="0"/>
          </w:tblBorders>
          <w:tblCellMar>
            <w:left w:w="10" w:type="dxa"/>
            <w:right w:w="10" w:type="dxa"/>
          </w:tblCellMar>
        </w:tblPrEx>
        <w:trPr>
          <w:trHeight w:hRule="atLeast" w:val="20"/>
        </w:trPr>
        <w:tc>
          <w:tcPr>
            <w:tcW w:w="658" w:type="dxa"/>
            <w:tcBorders/>
            <w:shd w:fill="C8541A" w:color="auto" w:val="clear"/>
            <w:vAlign w:val="top"/>
          </w:tcPr>
          <w:p>
            <w:pPr>
              <w:pBdr/>
              <w:pStyle w:val="Normal"/>
              <w:spacing/>
              <w:ind/>
              <w:jc w:val="center"/>
              <w:rPr>
                <w:rFonts w:ascii="Calibri" w:hAnsi="Calibri" w:cs="Calibri"/>
                <w:color w:val="FFFFFF"/>
                <w:sz w:val="18"/>
                <w:szCs w:val="18"/>
              </w:rPr>
            </w:pPr>
            <w:r>
              <w:rPr>
                <w:rFonts w:ascii="Calibri" w:hAnsi="Calibri" w:cs="Calibri"/>
                <w:color w:val="FFFFFF"/>
                <w:sz w:val="18"/>
                <w:szCs w:val="18"/>
              </w:rPr>
              <w:t xml:space="preserve">7</w:t>
            </w:r>
          </w:p>
        </w:tc>
        <w:tc>
          <w:tcPr>
            <w:tcW w:w="2561" w:type="dxa"/>
            <w:tcMar>
              <w:top w:w="60" w:type="dxa"/>
              <w:left w:w="100" w:type="dxa"/>
              <w:bottom w:w="60" w:type="dxa"/>
              <w:right w:w="100" w:type="dxa"/>
            </w:tcMar>
            <w:tcBorders/>
            <w:shd w:fill="C8541A" w:color="auto" w:val="clear"/>
            <w:vAlign w:val="top"/>
            <w:gridSpan w:val="2"/>
          </w:tcPr>
          <w:p>
            <w:pPr>
              <w:pBdr/>
              <w:pStyle w:val="Normal"/>
              <w:spacing/>
              <w:ind/>
              <w:rPr/>
            </w:pPr>
            <w:r>
              <w:rPr>
                <w:rFonts w:ascii="Calibri" w:hAnsi="Calibri" w:cs="Calibri"/>
                <w:color w:val="FFFFFF"/>
                <w:sz w:val="18"/>
                <w:szCs w:val="18"/>
              </w:rPr>
              <w:t xml:space="preserve">B. PROPERTY</w:t>
            </w:r>
          </w:p>
        </w:tc>
        <w:tc>
          <w:tcPr>
            <w:tcW w:w="1558" w:type="dxa"/>
            <w:tcBorders/>
            <w:shd w:fill="C8541A" w:color="auto" w:val="clear"/>
            <w:vAlign w:val="top"/>
          </w:tcPr>
          <w:p>
            <w:pPr>
              <w:pBdr/>
              <w:pStyle w:val="Normal"/>
              <w:spacing/>
              <w:ind/>
              <w:jc w:val="center"/>
              <w:rPr/>
            </w:pPr>
          </w:p>
        </w:tc>
        <w:tc>
          <w:tcPr>
            <w:tcW w:w="1213" w:type="dxa"/>
            <w:tcMar>
              <w:top w:w="60" w:type="dxa"/>
              <w:left w:w="100" w:type="dxa"/>
              <w:bottom w:w="60" w:type="dxa"/>
              <w:right w:w="100" w:type="dxa"/>
            </w:tcMar>
            <w:tcBorders/>
            <w:shd w:fill="C8541A" w:color="auto" w:val="clear"/>
            <w:vAlign w:val="top"/>
          </w:tcPr>
          <w:p>
            <w:pPr>
              <w:pBdr/>
              <w:pStyle w:val="Normal"/>
              <w:spacing/>
              <w:ind/>
              <w:rPr/>
            </w:pPr>
          </w:p>
        </w:tc>
        <w:tc>
          <w:tcPr>
            <w:tcW w:w="898" w:type="dxa"/>
            <w:tcBorders/>
            <w:shd w:fill="C8541A" w:color="auto" w:val="clear"/>
            <w:vAlign w:val="top"/>
          </w:tcPr>
          <w:p>
            <w:pPr>
              <w:pBdr/>
              <w:pStyle w:val="Normal"/>
              <w:spacing/>
              <w:ind/>
              <w:jc w:val="center"/>
              <w:rPr/>
            </w:pPr>
          </w:p>
        </w:tc>
        <w:tc>
          <w:tcPr>
            <w:tcW w:w="7142" w:type="dxa"/>
            <w:tcMar>
              <w:top w:w="60" w:type="dxa"/>
              <w:left w:w="100" w:type="dxa"/>
              <w:bottom w:w="60" w:type="dxa"/>
              <w:right w:w="100" w:type="dxa"/>
            </w:tcMar>
            <w:tcBorders/>
            <w:shd w:fill="C8541A" w:color="auto" w:val="clear"/>
            <w:vAlign w:val="top"/>
            <w:gridSpan w:val="2"/>
          </w:tcPr>
          <w:p>
            <w:pPr>
              <w:pBdr/>
              <w:pStyle w:val="Normal"/>
              <w:spacing/>
              <w:ind/>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8</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hAnsi="Calibri" w:cs="Calibri"/>
                <w:b/>
                <w:bCs/>
                <w:color w:val="1A2540"/>
                <w:sz w:val="18"/>
                <w:szCs w:val="18"/>
              </w:rPr>
              <w:t xml:space="preserve">Market Value</w:t>
            </w:r>
          </w:p>
        </w:tc>
        <w:tc>
          <w:tcPr>
            <w:tcW w:w="1558" w:type="dxa"/>
            <w:tcBorders/>
            <w:shd w:fill="F2F2F0"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b/>
                <w:bCs/>
                <w:color w:val="C8541A"/>
                <w:sz w:val="18"/>
                <w:szCs w:val="18"/>
              </w:rPr>
              <w:t xml:space="preserve">market_value</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b/>
                <w:bCs/>
                <w:color w:val="C8541A"/>
                <w:sz w:val="18"/>
                <w:szCs w:val="18"/>
              </w:rPr>
              <w:t xml:space="preserve">↑ Uploaded</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Y</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color w:val="222222"/>
                <w:sz w:val="18"/>
                <w:szCs w:val="18"/>
              </w:rPr>
              <w:t xml:space="preserve">Agreed appraised market value of the property in dollars. The primary valuation input.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9</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rFonts w:ascii="Calibri" w:hAnsi="Calibri" w:cs="Calibri"/>
                <w:b/>
                <w:bCs/>
                <w:color w:val="1A2540"/>
                <w:sz w:val="18"/>
                <w:szCs w:val="18"/>
              </w:rPr>
            </w:pPr>
            <w:r>
              <w:rPr>
                <w:rFonts w:ascii="Calibri" w:eastAsia="Calibri" w:hAnsi="Calibri" w:cs="Calibri"/>
                <w:b/>
                <w:bCs/>
                <w:color w:val="1A2540"/>
                <w:sz w:val="18"/>
                <w:szCs w:val="18"/>
              </w:rPr>
              <w:t xml:space="preserve">Bid Difference</w:t>
            </w:r>
          </w:p>
        </w:tc>
        <w:tc>
          <w:tcPr>
            <w:tcW w:w="1558" w:type="dxa"/>
            <w:tcBorders/>
            <w:shd w:fill="F2F2F0"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i/>
                <w:iCs/>
                <w:color w:val="6B6B6B"/>
                <w:sz w:val="18"/>
                <w:szCs w:val="18"/>
              </w:rPr>
              <w:t xml:space="preserve">bid_difference</w:t>
            </w:r>
          </w:p>
        </w:tc>
        <w:tc>
          <w:tcPr>
            <w:tcW w:w="1213" w:type="dxa"/>
            <w:tcMar>
              <w:top w:w="60" w:type="dxa"/>
              <w:left w:w="100" w:type="dxa"/>
              <w:bottom w:w="60" w:type="dxa"/>
              <w:right w:w="100" w:type="dxa"/>
            </w:tcMar>
            <w:tcBorders/>
            <w:shd w:fill="F2F2F0" w:color="auto" w:val="clear"/>
            <w:vAlign w:val="top"/>
          </w:tcPr>
          <w:p>
            <w:pPr>
              <w:pBdr/>
              <w:pStyle w:val="Normal"/>
              <w:spacing/>
              <w:ind/>
              <w:rPr>
                <w:rFonts w:ascii="Calibri" w:eastAsia="Calibri" w:hAnsi="Calibri" w:cs="Calibri"/>
                <w:b/>
                <w:bCs/>
                <w:color w:val="C8541A"/>
                <w:sz w:val="18"/>
                <w:szCs w:val="18"/>
              </w:rPr>
            </w:pPr>
            <w:r>
              <w:rPr>
                <w:rFonts w:ascii="Calibri" w:eastAsia="Calibri" w:hAnsi="Calibri" w:cs="Calibri"/>
                <w:color w:val="444444"/>
                <w:sz w:val="18"/>
                <w:szCs w:val="18"/>
              </w:rPr>
              <w:t xml:space="preserve">Tool input</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Y</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rFonts w:ascii="Calibri" w:eastAsia="Calibri" w:hAnsi="Calibri" w:cs="Calibri"/>
                <w:color w:val="222222"/>
                <w:sz w:val="18"/>
                <w:szCs w:val="18"/>
              </w:rPr>
            </w:pPr>
            <w:r>
              <w:rPr>
                <w:rFonts w:ascii="Calibri" w:eastAsia="Calibri" w:hAnsi="Calibri" w:cs="Calibri"/>
                <w:color w:val="222222"/>
                <w:sz w:val="18"/>
                <w:szCs w:val="18"/>
              </w:rPr>
              <w:t xml:space="preserve">Winning bid − agreed market value. Positive means the winner bid above market value to secure the property; negative means the winner bid below. Shown as a separate cash adjustment in the settlement ledger and split 60/40 through the shared pot. Does not change the property's NPV Equity figure.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10</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hAnsi="Calibri" w:cs="Calibri"/>
                <w:b/>
                <w:bCs/>
                <w:color w:val="1A2540"/>
                <w:sz w:val="18"/>
                <w:szCs w:val="18"/>
              </w:rPr>
              <w:t xml:space="preserve">Deferred CapEx</w:t>
            </w:r>
          </w:p>
        </w:tc>
        <w:tc>
          <w:tcPr>
            <w:tcW w:w="1558" w:type="dxa"/>
            <w:tcBorders/>
            <w:shd w:fill="FFFFFF"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b/>
                <w:bCs/>
                <w:color w:val="C8541A"/>
                <w:sz w:val="18"/>
                <w:szCs w:val="18"/>
              </w:rPr>
              <w:t xml:space="preserve">deferred_capex</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b/>
                <w:bCs/>
                <w:color w:val="C8541A"/>
                <w:sz w:val="18"/>
                <w:szCs w:val="18"/>
              </w:rPr>
              <w:t xml:space="preserve">↑ Uploaded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Y</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color w:val="222222"/>
                <w:sz w:val="18"/>
                <w:szCs w:val="18"/>
              </w:rPr>
              <w:t xml:space="preserve">Deferred capital expenditures in dollars — known repairs or replacements not yet funded.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11</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hAnsi="Calibri" w:cs="Calibri"/>
                <w:b/>
                <w:bCs/>
                <w:color w:val="1A2540"/>
                <w:sz w:val="18"/>
                <w:szCs w:val="18"/>
              </w:rPr>
              <w:t xml:space="preserve">NOI / yr</w:t>
            </w:r>
          </w:p>
        </w:tc>
        <w:tc>
          <w:tcPr>
            <w:tcW w:w="1558" w:type="dxa"/>
            <w:tcBorders/>
            <w:shd w:fill="FFFFFF"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b/>
                <w:bCs/>
                <w:color w:val="C8541A"/>
                <w:sz w:val="18"/>
                <w:szCs w:val="18"/>
              </w:rPr>
              <w:t xml:space="preserve">noi</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b/>
                <w:bCs/>
                <w:color w:val="C8541A"/>
                <w:sz w:val="18"/>
                <w:szCs w:val="18"/>
              </w:rPr>
              <w:t xml:space="preserve">↑ Uploaded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Y</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color w:val="222222"/>
                <w:sz w:val="18"/>
                <w:szCs w:val="18"/>
              </w:rPr>
              <w:t xml:space="preserve">Net Operating Income per year in dollars — rental income minus operating expenses, before any debt service.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12</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hAnsi="Calibri" w:cs="Calibri"/>
                <w:b/>
                <w:bCs/>
                <w:color w:val="1A2540"/>
                <w:sz w:val="18"/>
                <w:szCs w:val="18"/>
              </w:rPr>
              <w:t xml:space="preserve">Occupancy Actual %</w:t>
            </w:r>
          </w:p>
        </w:tc>
        <w:tc>
          <w:tcPr>
            <w:tcW w:w="1558" w:type="dxa"/>
            <w:tcBorders/>
            <w:shd w:fill="auto" w:color="auto"/>
            <w:vAlign w:val="top"/>
          </w:tcPr>
          <w:p>
            <w:pPr>
              <w:pBdr/>
              <w:pStyle w:val="Normal"/>
              <w:spacing/>
              <w:ind/>
              <w:jc w:val="center"/>
              <w:rPr/>
            </w:pPr>
            <w:r>
              <w:rPr>
                <w:rFonts w:ascii="Calibri" w:eastAsia="Calibri" w:hAnsi="Calibri" w:cs="Calibri"/>
                <w:b/>
                <w:bCs/>
                <w:color w:val="C8541A"/>
                <w:sz w:val="18"/>
                <w:szCs w:val="18"/>
              </w:rPr>
              <w:t xml:space="preserve">occupancy_actual_pct</w:t>
            </w:r>
          </w:p>
        </w:tc>
        <w:tc>
          <w:tcPr>
            <w:tcW w:w="1213" w:type="dxa"/>
            <w:tcMar>
              <w:top w:w="60" w:type="dxa"/>
              <w:left w:w="100" w:type="dxa"/>
              <w:bottom w:w="60" w:type="dxa"/>
              <w:right w:w="100" w:type="dxa"/>
            </w:tcMar>
            <w:tcBorders/>
            <w:shd w:fill="auto" w:color="auto"/>
            <w:vAlign w:val="top"/>
          </w:tcPr>
          <w:p>
            <w:pPr>
              <w:pBdr/>
              <w:pStyle w:val="Normal"/>
              <w:spacing/>
              <w:ind/>
              <w:rPr/>
            </w:pPr>
            <w:r>
              <w:rPr>
                <w:rFonts w:ascii="Calibri" w:eastAsia="Calibri" w:hAnsi="Calibri" w:cs="Calibri"/>
                <w:b/>
                <w:bCs/>
                <w:color w:val="C8541A"/>
                <w:sz w:val="18"/>
                <w:szCs w:val="18"/>
              </w:rPr>
              <w:t xml:space="preserve">↑ Uploaded</w:t>
            </w:r>
          </w:p>
        </w:tc>
        <w:tc>
          <w:tcPr>
            <w:tcW w:w="898" w:type="dxa"/>
            <w:tcBorders/>
            <w:shd w:fill="auto" w:color="auto"/>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Y</w:t>
            </w:r>
          </w:p>
        </w:tc>
        <w:tc>
          <w:tcPr>
            <w:tcW w:w="7142" w:type="dxa"/>
            <w:tcMar>
              <w:top w:w="60" w:type="dxa"/>
              <w:left w:w="100" w:type="dxa"/>
              <w:bottom w:w="60" w:type="dxa"/>
              <w:right w:w="100" w:type="dxa"/>
            </w:tcMar>
            <w:tcBorders/>
            <w:shd w:fill="auto" w:color="auto"/>
            <w:vAlign w:val="top"/>
            <w:gridSpan w:val="2"/>
          </w:tcPr>
          <w:p>
            <w:pPr>
              <w:pBdr/>
              <w:pStyle w:val="Normal"/>
              <w:spacing/>
              <w:ind/>
              <w:rPr/>
            </w:pPr>
            <w:r>
              <w:rPr>
                <w:rFonts w:ascii="Calibri" w:eastAsia="Calibri" w:hAnsi="Calibri" w:cs="Calibri"/>
                <w:color w:val="222222"/>
                <w:sz w:val="18"/>
                <w:szCs w:val="18"/>
              </w:rPr>
              <w:t xml:space="preserve">Current actual occupancy as a percentage (e.g. 91.5 for 91.5%). Reflects today's occupied-unit reality.</w:t>
            </w:r>
          </w:p>
        </w:tc>
      </w:tr>
      <w:tr>
        <w:tblPrEx>
          <w:tblBorders>
            <w:top w:val="none" w:sz="0" w:space="0"/>
            <w:left w:val="none" w:sz="0" w:space="0"/>
            <w:bottom w:val="none" w:sz="0" w:space="0"/>
            <w:right w:val="none" w:sz="0" w:space="0"/>
            <w:insideH w:val="none" w:sz="0" w:space="0"/>
            <w:insideV w:val="none" w:sz="0" w:space="0"/>
          </w:tblBorders>
          <w:tblCellMar>
            <w:left w:w="10" w:type="dxa"/>
            <w:right w:w="10" w:type="dxa"/>
          </w:tblCellMar>
        </w:tblPrEx>
        <w:trPr>
          <w:trHeight w:hRule="atLeast" w:val="20"/>
        </w:trPr>
        <w:tc>
          <w:tcPr>
            <w:tcW w:w="658" w:type="dxa"/>
            <w:tcBorders/>
            <w:shd w:fill="C8541A" w:color="auto" w:val="clear"/>
            <w:vAlign w:val="top"/>
          </w:tcPr>
          <w:p>
            <w:pPr>
              <w:pBdr/>
              <w:pStyle w:val="Normal"/>
              <w:spacing/>
              <w:ind/>
              <w:jc w:val="center"/>
              <w:rPr>
                <w:rFonts w:ascii="Calibri" w:hAnsi="Calibri" w:cs="Calibri"/>
                <w:color w:val="FFFFFF"/>
                <w:sz w:val="18"/>
                <w:szCs w:val="18"/>
              </w:rPr>
            </w:pPr>
            <w:r>
              <w:rPr>
                <w:rFonts w:ascii="Calibri" w:hAnsi="Calibri" w:cs="Calibri"/>
                <w:color w:val="FFFFFF"/>
                <w:sz w:val="18"/>
                <w:szCs w:val="18"/>
              </w:rPr>
              <w:t xml:space="preserve">13</w:t>
            </w:r>
          </w:p>
        </w:tc>
        <w:tc>
          <w:tcPr>
            <w:tcW w:w="2561" w:type="dxa"/>
            <w:tcMar>
              <w:top w:w="60" w:type="dxa"/>
              <w:left w:w="100" w:type="dxa"/>
              <w:bottom w:w="60" w:type="dxa"/>
              <w:right w:w="100" w:type="dxa"/>
            </w:tcMar>
            <w:tcBorders/>
            <w:shd w:fill="C8541A" w:color="auto" w:val="clear"/>
            <w:vAlign w:val="top"/>
            <w:gridSpan w:val="2"/>
          </w:tcPr>
          <w:p>
            <w:pPr>
              <w:pBdr/>
              <w:pStyle w:val="Normal"/>
              <w:spacing/>
              <w:ind/>
              <w:rPr/>
            </w:pPr>
            <w:r>
              <w:rPr>
                <w:rFonts w:ascii="Calibri" w:hAnsi="Calibri" w:cs="Calibri"/>
                <w:color w:val="FFFFFF"/>
                <w:sz w:val="18"/>
                <w:szCs w:val="18"/>
              </w:rPr>
              <w:t xml:space="preserve">C.  LOAN</w:t>
            </w:r>
          </w:p>
        </w:tc>
        <w:tc>
          <w:tcPr>
            <w:tcW w:w="1558" w:type="dxa"/>
            <w:tcBorders/>
            <w:shd w:fill="C8541A" w:color="auto" w:val="clear"/>
            <w:vAlign w:val="top"/>
          </w:tcPr>
          <w:p>
            <w:pPr>
              <w:pBdr/>
              <w:pStyle w:val="Normal"/>
              <w:spacing/>
              <w:ind/>
              <w:jc w:val="center"/>
              <w:rPr/>
            </w:pPr>
          </w:p>
        </w:tc>
        <w:tc>
          <w:tcPr>
            <w:tcW w:w="1213" w:type="dxa"/>
            <w:tcMar>
              <w:top w:w="60" w:type="dxa"/>
              <w:left w:w="100" w:type="dxa"/>
              <w:bottom w:w="60" w:type="dxa"/>
              <w:right w:w="100" w:type="dxa"/>
            </w:tcMar>
            <w:tcBorders/>
            <w:shd w:fill="C8541A" w:color="auto" w:val="clear"/>
            <w:vAlign w:val="top"/>
          </w:tcPr>
          <w:p>
            <w:pPr>
              <w:pBdr/>
              <w:pStyle w:val="Normal"/>
              <w:spacing/>
              <w:ind/>
              <w:rPr/>
            </w:pPr>
          </w:p>
        </w:tc>
        <w:tc>
          <w:tcPr>
            <w:tcW w:w="898" w:type="dxa"/>
            <w:tcBorders/>
            <w:shd w:fill="C8541A" w:color="auto" w:val="clear"/>
            <w:vAlign w:val="top"/>
          </w:tcPr>
          <w:p>
            <w:pPr>
              <w:pBdr/>
              <w:pStyle w:val="Normal"/>
              <w:spacing/>
              <w:ind/>
              <w:jc w:val="center"/>
              <w:rPr/>
            </w:pPr>
          </w:p>
        </w:tc>
        <w:tc>
          <w:tcPr>
            <w:tcW w:w="7142" w:type="dxa"/>
            <w:tcMar>
              <w:top w:w="60" w:type="dxa"/>
              <w:left w:w="100" w:type="dxa"/>
              <w:bottom w:w="60" w:type="dxa"/>
              <w:right w:w="100" w:type="dxa"/>
            </w:tcMar>
            <w:tcBorders/>
            <w:shd w:fill="C8541A" w:color="auto" w:val="clear"/>
            <w:vAlign w:val="top"/>
            <w:gridSpan w:val="2"/>
          </w:tcPr>
          <w:p>
            <w:pPr>
              <w:pBdr/>
              <w:pStyle w:val="Normal"/>
              <w:spacing/>
              <w:ind/>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14</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hAnsi="Calibri" w:cs="Calibri"/>
                <w:b/>
                <w:bCs/>
                <w:color w:val="1A2540"/>
                <w:sz w:val="18"/>
                <w:szCs w:val="18"/>
              </w:rPr>
              <w:t xml:space="preserve">Loan Balance</w:t>
            </w:r>
          </w:p>
        </w:tc>
        <w:tc>
          <w:tcPr>
            <w:tcW w:w="1558" w:type="dxa"/>
            <w:tcBorders/>
            <w:shd w:fill="F2F2F0"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b/>
                <w:bCs/>
                <w:color w:val="C8541A"/>
                <w:sz w:val="18"/>
                <w:szCs w:val="18"/>
              </w:rPr>
              <w:t xml:space="preserve">loan_balance</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b/>
                <w:bCs/>
                <w:color w:val="C8541A"/>
                <w:sz w:val="18"/>
                <w:szCs w:val="18"/>
              </w:rPr>
              <w:t xml:space="preserve">↑ Uploaded</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Y</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color w:val="222222"/>
                <w:sz w:val="18"/>
                <w:szCs w:val="18"/>
              </w:rPr>
              <w:t xml:space="preserve">Outstanding principal balance of the mortgage in dollars.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15</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hAnsi="Calibri" w:cs="Calibri"/>
                <w:b/>
                <w:bCs/>
                <w:color w:val="1A2540"/>
                <w:sz w:val="18"/>
                <w:szCs w:val="18"/>
              </w:rPr>
              <w:t xml:space="preserve">Interest Rate</w:t>
            </w:r>
          </w:p>
        </w:tc>
        <w:tc>
          <w:tcPr>
            <w:tcW w:w="1558" w:type="dxa"/>
            <w:tcBorders/>
            <w:shd w:fill="FFFFFF"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b/>
                <w:bCs/>
                <w:color w:val="C8541A"/>
                <w:sz w:val="18"/>
                <w:szCs w:val="18"/>
              </w:rPr>
              <w:t xml:space="preserve">loan_rate</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b/>
                <w:bCs/>
                <w:color w:val="C8541A"/>
                <w:sz w:val="18"/>
                <w:szCs w:val="18"/>
              </w:rPr>
              <w:t xml:space="preserve">↑ Uploaded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Y</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color w:val="222222"/>
                <w:sz w:val="18"/>
                <w:szCs w:val="18"/>
              </w:rPr>
              <w:t xml:space="preserve">Note interest rate as a percentage (e.g. 5.75 for 5.75%).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16</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hAnsi="Calibri" w:cs="Calibri"/>
                <w:b/>
                <w:bCs/>
                <w:color w:val="1A2540"/>
                <w:sz w:val="18"/>
                <w:szCs w:val="18"/>
              </w:rPr>
              <w:t xml:space="preserve">Amort. Period</w:t>
            </w:r>
          </w:p>
        </w:tc>
        <w:tc>
          <w:tcPr>
            <w:tcW w:w="1558" w:type="dxa"/>
            <w:tcBorders/>
            <w:shd w:fill="F2F2F0"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b/>
                <w:bCs/>
                <w:color w:val="C8541A"/>
                <w:sz w:val="18"/>
                <w:szCs w:val="18"/>
              </w:rPr>
              <w:t xml:space="preserve">amort_period</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b/>
                <w:bCs/>
                <w:color w:val="C8541A"/>
                <w:sz w:val="18"/>
                <w:szCs w:val="18"/>
              </w:rPr>
              <w:t xml:space="preserve">↑ Uploaded</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Y</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color w:val="222222"/>
                <w:sz w:val="18"/>
                <w:szCs w:val="18"/>
              </w:rPr>
              <w:t xml:space="preserve">Full amortization period in years — the schedule that drives the monthly payment size. Typically 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17</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1A2540"/>
                <w:sz w:val="18"/>
                <w:szCs w:val="18"/>
              </w:rPr>
              <w:t xml:space="preserve">LTV</w:t>
            </w:r>
          </w:p>
        </w:tc>
        <w:tc>
          <w:tcPr>
            <w:tcW w:w="1558" w:type="dxa"/>
            <w:tcBorders/>
            <w:shd w:fill="FFFFFF"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b/>
                <w:bCs/>
                <w:color w:val="C8541A"/>
                <w:sz w:val="18"/>
                <w:szCs w:val="18"/>
              </w:rPr>
              <w:t xml:space="preserve">ltv</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222222"/>
                <w:sz w:val="18"/>
                <w:szCs w:val="18"/>
              </w:rPr>
              <w:t xml:space="preserve">loan_balance ÷ market_value</w:t>
            </w:r>
            <w:r>
              <w:rPr>
                <w:rFonts w:ascii="Calibri" w:eastAsia="Calibri" w:hAnsi="Calibri" w:cs="Calibri"/>
                <w:color w:val="222222"/>
                <w:sz w:val="18"/>
                <w:szCs w:val="18"/>
              </w:rPr>
              <w:t xml:space="preserve">, expressed as a percentage. Displayed on the property card for reference.</w:t>
            </w:r>
          </w:p>
        </w:tc>
      </w:tr>
      <w:tr>
        <w:tblPrEx>
          <w:tblBorders>
            <w:top w:val="none" w:sz="0" w:space="0"/>
            <w:left w:val="none" w:sz="0" w:space="0"/>
            <w:bottom w:val="none" w:sz="0" w:space="0"/>
            <w:right w:val="none" w:sz="0" w:space="0"/>
            <w:insideH w:val="none" w:sz="0" w:space="0"/>
            <w:insideV w:val="none" w:sz="0" w:space="0"/>
          </w:tblBorders>
          <w:tblCellMar>
            <w:left w:w="10" w:type="dxa"/>
            <w:right w:w="10" w:type="dxa"/>
          </w:tblCellMar>
        </w:tblPrEx>
        <w:trPr>
          <w:trHeight w:hRule="atLeast" w:val="20"/>
        </w:trPr>
        <w:tc>
          <w:tcPr>
            <w:tcW w:w="658" w:type="dxa"/>
            <w:tcBorders/>
            <w:shd w:fill="C8541A" w:color="auto" w:val="clear"/>
            <w:vAlign w:val="top"/>
          </w:tcPr>
          <w:p>
            <w:pPr>
              <w:pBdr/>
              <w:pStyle w:val="Normal"/>
              <w:spacing/>
              <w:ind/>
              <w:jc w:val="center"/>
              <w:rPr>
                <w:rFonts w:ascii="Calibri" w:hAnsi="Calibri" w:cs="Calibri"/>
                <w:color w:val="FFFFFF"/>
                <w:sz w:val="18"/>
                <w:szCs w:val="18"/>
              </w:rPr>
            </w:pPr>
            <w:r>
              <w:rPr>
                <w:rFonts w:ascii="Calibri" w:hAnsi="Calibri" w:cs="Calibri"/>
                <w:color w:val="FFFFFF"/>
                <w:sz w:val="18"/>
                <w:szCs w:val="18"/>
              </w:rPr>
              <w:t xml:space="preserve">18</w:t>
            </w:r>
          </w:p>
        </w:tc>
        <w:tc>
          <w:tcPr>
            <w:tcW w:w="2561" w:type="dxa"/>
            <w:tcMar>
              <w:top w:w="60" w:type="dxa"/>
              <w:left w:w="100" w:type="dxa"/>
              <w:bottom w:w="60" w:type="dxa"/>
              <w:right w:w="100" w:type="dxa"/>
            </w:tcMar>
            <w:tcBorders/>
            <w:shd w:fill="C8541A" w:color="auto" w:val="clear"/>
            <w:vAlign w:val="top"/>
            <w:gridSpan w:val="2"/>
          </w:tcPr>
          <w:p>
            <w:pPr>
              <w:pBdr/>
              <w:pStyle w:val="Normal"/>
              <w:spacing/>
              <w:ind/>
              <w:rPr/>
            </w:pPr>
            <w:r>
              <w:rPr>
                <w:rFonts w:ascii="Calibri" w:eastAsia="Calibri" w:hAnsi="Calibri" w:cs="Calibri"/>
                <w:color w:val="FFFFFF"/>
                <w:sz w:val="18"/>
                <w:szCs w:val="18"/>
              </w:rPr>
              <w:t xml:space="preserve">D.  PRINCIPAL AND INTEREST</w:t>
            </w:r>
          </w:p>
        </w:tc>
        <w:tc>
          <w:tcPr>
            <w:tcW w:w="1558" w:type="dxa"/>
            <w:tcBorders/>
            <w:shd w:fill="C8541A" w:color="auto" w:val="clear"/>
            <w:vAlign w:val="top"/>
          </w:tcPr>
          <w:p>
            <w:pPr>
              <w:pBdr/>
              <w:pStyle w:val="Normal"/>
              <w:spacing/>
              <w:ind/>
              <w:jc w:val="center"/>
              <w:rPr/>
            </w:pPr>
          </w:p>
        </w:tc>
        <w:tc>
          <w:tcPr>
            <w:tcW w:w="1213" w:type="dxa"/>
            <w:tcMar>
              <w:top w:w="60" w:type="dxa"/>
              <w:left w:w="100" w:type="dxa"/>
              <w:bottom w:w="60" w:type="dxa"/>
              <w:right w:w="100" w:type="dxa"/>
            </w:tcMar>
            <w:tcBorders/>
            <w:shd w:fill="C8541A" w:color="auto" w:val="clear"/>
            <w:vAlign w:val="top"/>
          </w:tcPr>
          <w:p>
            <w:pPr>
              <w:pBdr/>
              <w:pStyle w:val="Normal"/>
              <w:spacing/>
              <w:ind/>
              <w:rPr/>
            </w:pPr>
          </w:p>
        </w:tc>
        <w:tc>
          <w:tcPr>
            <w:tcW w:w="898" w:type="dxa"/>
            <w:tcBorders/>
            <w:shd w:fill="C8541A" w:color="auto" w:val="clear"/>
            <w:vAlign w:val="top"/>
          </w:tcPr>
          <w:p>
            <w:pPr>
              <w:pBdr/>
              <w:pStyle w:val="Normal"/>
              <w:spacing/>
              <w:ind/>
              <w:jc w:val="center"/>
              <w:rPr/>
            </w:pPr>
          </w:p>
        </w:tc>
        <w:tc>
          <w:tcPr>
            <w:tcW w:w="7142" w:type="dxa"/>
            <w:tcMar>
              <w:top w:w="60" w:type="dxa"/>
              <w:left w:w="100" w:type="dxa"/>
              <w:bottom w:w="60" w:type="dxa"/>
              <w:right w:w="100" w:type="dxa"/>
            </w:tcMar>
            <w:tcBorders/>
            <w:shd w:fill="C8541A" w:color="auto" w:val="clear"/>
            <w:vAlign w:val="top"/>
            <w:gridSpan w:val="2"/>
          </w:tcPr>
          <w:p>
            <w:pPr>
              <w:pBdr/>
              <w:pStyle w:val="Normal"/>
              <w:spacing/>
              <w:ind/>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19</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hAnsi="Calibri" w:cs="Calibri"/>
                <w:b/>
                <w:bCs/>
                <w:color w:val="1A2540"/>
                <w:sz w:val="18"/>
                <w:szCs w:val="18"/>
              </w:rPr>
              <w:t xml:space="preserve">IO Years</w:t>
            </w:r>
          </w:p>
        </w:tc>
        <w:tc>
          <w:tcPr>
            <w:tcW w:w="1558" w:type="dxa"/>
            <w:tcBorders/>
            <w:shd w:fill="FFFFFF"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b/>
                <w:bCs/>
                <w:color w:val="C8541A"/>
                <w:sz w:val="18"/>
                <w:szCs w:val="18"/>
              </w:rPr>
              <w:t xml:space="preserve">io_years</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b/>
                <w:bCs/>
                <w:color w:val="C8541A"/>
                <w:sz w:val="18"/>
                <w:szCs w:val="18"/>
              </w:rPr>
              <w:t xml:space="preserve">↑ Uploaded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Y</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color w:val="222222"/>
                <w:sz w:val="18"/>
                <w:szCs w:val="18"/>
              </w:rPr>
              <w:t xml:space="preserve">Interest-only period in years from origination. Enter 0 if the loan has no IO period.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20</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hAnsi="Calibri" w:cs="Calibri"/>
                <w:b/>
                <w:bCs/>
                <w:color w:val="1A2540"/>
                <w:sz w:val="18"/>
                <w:szCs w:val="18"/>
              </w:rPr>
              <w:t xml:space="preserve">Residual Loan Term</w:t>
            </w:r>
          </w:p>
        </w:tc>
        <w:tc>
          <w:tcPr>
            <w:tcW w:w="1558" w:type="dxa"/>
            <w:tcBorders/>
            <w:shd w:fill="F2F2F0"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b/>
                <w:bCs/>
                <w:color w:val="C8541A"/>
                <w:sz w:val="18"/>
                <w:szCs w:val="18"/>
              </w:rPr>
              <w:t xml:space="preserve">loan_term</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b/>
                <w:bCs/>
                <w:color w:val="C8541A"/>
                <w:sz w:val="18"/>
                <w:szCs w:val="18"/>
              </w:rPr>
              <w:t xml:space="preserve">↑ Uploaded</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Y</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color w:val="222222"/>
                <w:sz w:val="18"/>
                <w:szCs w:val="18"/>
              </w:rPr>
              <w:t xml:space="preserve">Years until the rate resets or the balloon payment is due (end of the fixed-rate period).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21</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1A2540"/>
                <w:sz w:val="18"/>
                <w:szCs w:val="18"/>
              </w:rPr>
              <w:t xml:space="preserve">Monthly P&amp;I</w:t>
            </w:r>
          </w:p>
        </w:tc>
        <w:tc>
          <w:tcPr>
            <w:tcW w:w="1558" w:type="dxa"/>
            <w:tcBorders/>
            <w:shd w:fill="FFFFFF"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b/>
                <w:bCs/>
                <w:color w:val="C8541A"/>
                <w:sz w:val="18"/>
                <w:szCs w:val="18"/>
              </w:rPr>
              <w:t xml:space="preserve">monthly_payment</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b/>
                <w:bCs/>
                <w:color w:val="C8541A"/>
                <w:sz w:val="18"/>
                <w:szCs w:val="18"/>
              </w:rPr>
              <w:t xml:space="preserve">↑ Uploaded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Y</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color w:val="222222"/>
                <w:sz w:val="18"/>
                <w:szCs w:val="18"/>
              </w:rPr>
              <w:t xml:space="preserve">Contractual monthly principal-and-interest payment from the bank statement. When provided, this overrides the computed payment and is used for Debt NPV and Annual Debt Service.</w:t>
            </w:r>
          </w:p>
        </w:tc>
      </w:tr>
      <w:tr>
        <w:tblPrEx>
          <w:tblBorders>
            <w:top w:val="none" w:sz="0" w:space="0"/>
            <w:left w:val="none" w:sz="0" w:space="0"/>
            <w:bottom w:val="none" w:sz="0" w:space="0"/>
            <w:right w:val="none" w:sz="0" w:space="0"/>
            <w:insideH w:val="none" w:sz="0" w:space="0"/>
            <w:insideV w:val="none" w:sz="0" w:space="0"/>
          </w:tblBorders>
          <w:tblCellMar>
            <w:left w:w="10" w:type="dxa"/>
            <w:right w:w="10" w:type="dxa"/>
          </w:tblCellMar>
        </w:tblPrEx>
        <w:trPr>
          <w:trHeight w:hRule="atLeast" w:val="20"/>
        </w:trPr>
        <w:tc>
          <w:tcPr>
            <w:tcW w:w="658" w:type="dxa"/>
            <w:tcBorders/>
            <w:shd w:fill="C8541A" w:color="auto" w:val="clear"/>
            <w:vAlign w:val="top"/>
          </w:tcPr>
          <w:p>
            <w:pPr>
              <w:pBdr/>
              <w:pStyle w:val="Normal"/>
              <w:spacing/>
              <w:ind/>
              <w:jc w:val="center"/>
              <w:rPr>
                <w:rFonts w:ascii="Calibri" w:hAnsi="Calibri" w:cs="Calibri"/>
                <w:color w:val="FFFFFF"/>
                <w:sz w:val="18"/>
                <w:szCs w:val="18"/>
              </w:rPr>
            </w:pPr>
            <w:r>
              <w:rPr>
                <w:rFonts w:ascii="Calibri" w:hAnsi="Calibri" w:cs="Calibri"/>
                <w:color w:val="FFFFFF"/>
                <w:sz w:val="18"/>
                <w:szCs w:val="18"/>
              </w:rPr>
              <w:t xml:space="preserve">22</w:t>
            </w:r>
          </w:p>
        </w:tc>
        <w:tc>
          <w:tcPr>
            <w:tcW w:w="2561" w:type="dxa"/>
            <w:tcMar>
              <w:top w:w="60" w:type="dxa"/>
              <w:left w:w="100" w:type="dxa"/>
              <w:bottom w:w="60" w:type="dxa"/>
              <w:right w:w="100" w:type="dxa"/>
            </w:tcMar>
            <w:tcBorders/>
            <w:shd w:fill="C8541A" w:color="auto" w:val="clear"/>
            <w:vAlign w:val="top"/>
            <w:gridSpan w:val="2"/>
          </w:tcPr>
          <w:p>
            <w:pPr>
              <w:pBdr/>
              <w:pStyle w:val="Normal"/>
              <w:spacing/>
              <w:ind/>
              <w:rPr/>
            </w:pPr>
            <w:r>
              <w:rPr>
                <w:rFonts w:ascii="Calibri" w:hAnsi="Calibri" w:cs="Calibri"/>
                <w:color w:val="FFFFFF"/>
                <w:sz w:val="18"/>
                <w:szCs w:val="18"/>
              </w:rPr>
              <w:t xml:space="preserve">E.  CURRENT VALUES</w:t>
            </w:r>
          </w:p>
        </w:tc>
        <w:tc>
          <w:tcPr>
            <w:tcW w:w="1558" w:type="dxa"/>
            <w:tcBorders/>
            <w:shd w:fill="C8541A" w:color="auto" w:val="clear"/>
            <w:vAlign w:val="top"/>
          </w:tcPr>
          <w:p>
            <w:pPr>
              <w:pBdr/>
              <w:pStyle w:val="Normal"/>
              <w:spacing/>
              <w:ind/>
              <w:jc w:val="center"/>
              <w:rPr/>
            </w:pPr>
          </w:p>
        </w:tc>
        <w:tc>
          <w:tcPr>
            <w:tcW w:w="1213" w:type="dxa"/>
            <w:tcMar>
              <w:top w:w="60" w:type="dxa"/>
              <w:left w:w="100" w:type="dxa"/>
              <w:bottom w:w="60" w:type="dxa"/>
              <w:right w:w="100" w:type="dxa"/>
            </w:tcMar>
            <w:tcBorders/>
            <w:shd w:fill="C8541A" w:color="auto" w:val="clear"/>
            <w:vAlign w:val="top"/>
          </w:tcPr>
          <w:p>
            <w:pPr>
              <w:pBdr/>
              <w:pStyle w:val="Normal"/>
              <w:spacing/>
              <w:ind/>
              <w:rPr/>
            </w:pPr>
          </w:p>
        </w:tc>
        <w:tc>
          <w:tcPr>
            <w:tcW w:w="898" w:type="dxa"/>
            <w:tcBorders/>
            <w:shd w:fill="C8541A" w:color="auto" w:val="clear"/>
            <w:vAlign w:val="top"/>
          </w:tcPr>
          <w:p>
            <w:pPr>
              <w:pBdr/>
              <w:pStyle w:val="Normal"/>
              <w:spacing/>
              <w:ind/>
              <w:jc w:val="center"/>
              <w:rPr/>
            </w:pPr>
          </w:p>
        </w:tc>
        <w:tc>
          <w:tcPr>
            <w:tcW w:w="7142" w:type="dxa"/>
            <w:tcMar>
              <w:top w:w="60" w:type="dxa"/>
              <w:left w:w="100" w:type="dxa"/>
              <w:bottom w:w="60" w:type="dxa"/>
              <w:right w:w="100" w:type="dxa"/>
            </w:tcMar>
            <w:tcBorders/>
            <w:shd w:fill="C8541A" w:color="auto" w:val="clear"/>
            <w:vAlign w:val="top"/>
            <w:gridSpan w:val="2"/>
          </w:tcPr>
          <w:p>
            <w:pPr>
              <w:pBdr/>
              <w:pStyle w:val="Normal"/>
              <w:spacing/>
              <w:ind/>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23</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1A2540"/>
                <w:sz w:val="18"/>
                <w:szCs w:val="18"/>
              </w:rPr>
              <w:t xml:space="preserve">ADJ. NET VALUE</w:t>
            </w:r>
          </w:p>
        </w:tc>
        <w:tc>
          <w:tcPr>
            <w:tcW w:w="1558" w:type="dxa"/>
            <w:tcBorders/>
            <w:shd w:fill="F2F2F0"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b/>
                <w:bCs/>
                <w:color w:val="C8541A"/>
                <w:sz w:val="18"/>
                <w:szCs w:val="18"/>
              </w:rPr>
              <w:t xml:space="preserve">adj_net_value</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222222"/>
                <w:sz w:val="18"/>
                <w:szCs w:val="18"/>
              </w:rPr>
              <w:t xml:space="preserve">market_value − deferred_capex</w:t>
            </w:r>
            <w:r>
              <w:rPr>
                <w:rFonts w:ascii="Calibri" w:eastAsia="Calibri" w:hAnsi="Calibri" w:cs="Calibri"/>
                <w:color w:val="222222"/>
                <w:sz w:val="18"/>
                <w:szCs w:val="18"/>
              </w:rPr>
              <w:t xml:space="preserve">. Represents the effective value of the property after adjusting for deferred spend.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24</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1A2540"/>
                <w:sz w:val="18"/>
                <w:szCs w:val="18"/>
              </w:rPr>
              <w:t xml:space="preserve">DEBT NPV</w:t>
            </w:r>
          </w:p>
        </w:tc>
        <w:tc>
          <w:tcPr>
            <w:tcW w:w="1558" w:type="dxa"/>
            <w:tcBorders/>
            <w:shd w:fill="FFFFFF"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b/>
                <w:bCs/>
                <w:color w:val="C8541A"/>
                <w:sz w:val="18"/>
                <w:szCs w:val="18"/>
              </w:rPr>
              <w:t xml:space="preserve">debt_npv</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color w:val="222222"/>
                <w:sz w:val="18"/>
                <w:szCs w:val="18"/>
              </w:rPr>
              <w:t xml:space="preserve">Present value of all remaining loan cash flows discounted at the Market Discount Rate. For an IO loan in its IO period: PV of IO payments + PV of balloon at end of IO period, both discounted at the market rate. For an amortizing loan: PV of the remaining monthly P&amp;I stream to balloon/reset, plus PV of the remaining balance at that date, discounted at the market rate. A below-market rate loan has Debt NPV &lt; loan_balance — the borrower benefits from cheaper-</w:t>
            </w:r>
            <w:r>
              <w:rPr>
                <w:rFonts w:ascii="Calibri" w:eastAsia="Calibri" w:hAnsi="Calibri" w:cs="Calibri"/>
                <w:color w:val="222222"/>
                <w:sz w:val="18"/>
                <w:szCs w:val="18"/>
              </w:rPr>
              <w:t xml:space="preserve">than-market debt.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25</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1A2540"/>
                <w:sz w:val="18"/>
                <w:szCs w:val="18"/>
              </w:rPr>
              <w:t xml:space="preserve">NPV EQUITY</w:t>
            </w:r>
          </w:p>
        </w:tc>
        <w:tc>
          <w:tcPr>
            <w:tcW w:w="1558" w:type="dxa"/>
            <w:tcBorders/>
            <w:shd w:fill="F2F2F0"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b/>
                <w:bCs/>
                <w:color w:val="C8541A"/>
                <w:sz w:val="18"/>
                <w:szCs w:val="18"/>
              </w:rPr>
              <w:t xml:space="preserve">npv_equity</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222222"/>
                <w:sz w:val="18"/>
                <w:szCs w:val="18"/>
              </w:rPr>
              <w:t xml:space="preserve">Adj. Market Value − Debt NPV</w:t>
            </w:r>
            <w:r>
              <w:rPr>
                <w:rFonts w:ascii="Calibri" w:eastAsia="Calibri" w:hAnsi="Calibri" w:cs="Calibri"/>
                <w:color w:val="222222"/>
                <w:sz w:val="18"/>
                <w:szCs w:val="18"/>
              </w:rPr>
              <w:t xml:space="preserve">. The true economic equity in the property after valuing the debt correctly at current market rates rather than simply subtracting the face balance.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26</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1A2540"/>
                <w:sz w:val="18"/>
                <w:szCs w:val="18"/>
              </w:rPr>
              <w:t xml:space="preserve">ANNUAL DEBT SERVICE</w:t>
            </w:r>
          </w:p>
        </w:tc>
        <w:tc>
          <w:tcPr>
            <w:tcW w:w="1558" w:type="dxa"/>
            <w:tcBorders/>
            <w:shd w:fill="F2F2F0"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b/>
                <w:bCs/>
                <w:color w:val="C8541A"/>
                <w:sz w:val="18"/>
                <w:szCs w:val="18"/>
              </w:rPr>
              <w:t xml:space="preserve">annual_debt_service</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color w:val="222222"/>
                <w:sz w:val="18"/>
                <w:szCs w:val="18"/>
              </w:rPr>
              <w:t xml:space="preserve">If IO period is still active: </w:t>
            </w:r>
            <w:r>
              <w:rPr>
                <w:rFonts w:ascii="Calibri" w:eastAsia="Calibri" w:hAnsi="Calibri" w:cs="Calibri"/>
                <w:b/>
                <w:bCs/>
                <w:color w:val="222222"/>
                <w:sz w:val="18"/>
                <w:szCs w:val="18"/>
              </w:rPr>
              <w:t xml:space="preserve">loan_balance × loan_rate ÷ 100</w:t>
            </w:r>
            <w:r>
              <w:rPr>
                <w:rFonts w:ascii="Calibri" w:eastAsia="Calibri" w:hAnsi="Calibri" w:cs="Calibri"/>
                <w:color w:val="222222"/>
                <w:sz w:val="18"/>
                <w:szCs w:val="18"/>
              </w:rPr>
              <w:t xml:space="preserve">. Otherwise: </w:t>
            </w:r>
            <w:r>
              <w:rPr>
                <w:rFonts w:ascii="Calibri" w:eastAsia="Calibri" w:hAnsi="Calibri" w:cs="Calibri"/>
                <w:b/>
                <w:bCs/>
                <w:color w:val="222222"/>
                <w:sz w:val="18"/>
                <w:szCs w:val="18"/>
              </w:rPr>
              <w:t xml:space="preserve">monthly_payment × 12</w:t>
            </w:r>
            <w:r>
              <w:rPr>
                <w:rFonts w:ascii="Calibri" w:eastAsia="Calibri" w:hAnsi="Calibri" w:cs="Calibri"/>
                <w:color w:val="222222"/>
                <w:sz w:val="18"/>
                <w:szCs w:val="18"/>
              </w:rPr>
              <w:t xml:space="preserve"> (or </w:t>
            </w:r>
            <w:r>
              <w:rPr>
                <w:rFonts w:ascii="Calibri" w:eastAsia="Calibri" w:hAnsi="Calibri" w:cs="Calibri"/>
                <w:b/>
                <w:bCs/>
                <w:color w:val="222222"/>
                <w:sz w:val="18"/>
                <w:szCs w:val="18"/>
              </w:rPr>
              <w:t xml:space="preserve">computed payment × 12</w:t>
            </w:r>
            <w:r>
              <w:rPr>
                <w:rFonts w:ascii="Calibri" w:eastAsia="Calibri" w:hAnsi="Calibri" w:cs="Calibri"/>
                <w:color w:val="222222"/>
                <w:sz w:val="18"/>
                <w:szCs w:val="18"/>
              </w:rPr>
              <w:t xml:space="preserve"> if monthly_payment is blank).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27</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1A2540"/>
                <w:sz w:val="18"/>
                <w:szCs w:val="18"/>
              </w:rPr>
              <w:t xml:space="preserve">NET CASH FLOW / YR</w:t>
            </w:r>
          </w:p>
        </w:tc>
        <w:tc>
          <w:tcPr>
            <w:tcW w:w="1558" w:type="dxa"/>
            <w:tcBorders/>
            <w:shd w:fill="FFFFFF"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b/>
                <w:bCs/>
                <w:color w:val="C8541A"/>
                <w:sz w:val="18"/>
                <w:szCs w:val="18"/>
              </w:rPr>
              <w:t xml:space="preserve">net_cash_flow</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222222"/>
                <w:sz w:val="18"/>
                <w:szCs w:val="18"/>
              </w:rPr>
              <w:t xml:space="preserve">noi − Annual Debt Service</w:t>
            </w:r>
            <w:r>
              <w:rPr>
                <w:rFonts w:ascii="Calibri" w:eastAsia="Calibri" w:hAnsi="Calibri" w:cs="Calibri"/>
                <w:color w:val="222222"/>
                <w:sz w:val="18"/>
                <w:szCs w:val="18"/>
              </w:rPr>
              <w:t xml:space="preserve">. The cash the property produces after meeting its loan obligations.</w:t>
            </w:r>
          </w:p>
        </w:tc>
      </w:tr>
      <w:tr>
        <w:tblPrEx>
          <w:tblBorders>
            <w:top w:val="none" w:sz="0" w:space="0"/>
            <w:left w:val="none" w:sz="0" w:space="0"/>
            <w:bottom w:val="none" w:sz="0" w:space="0"/>
            <w:right w:val="none" w:sz="0" w:space="0"/>
            <w:insideH w:val="none" w:sz="0" w:space="0"/>
            <w:insideV w:val="none" w:sz="0" w:space="0"/>
          </w:tblBorders>
          <w:tblCellMar>
            <w:left w:w="10" w:type="dxa"/>
            <w:right w:w="10" w:type="dxa"/>
          </w:tblCellMar>
        </w:tblPrEx>
        <w:trPr>
          <w:trHeight w:hRule="atLeast" w:val="20"/>
        </w:trPr>
        <w:tc>
          <w:tcPr>
            <w:tcW w:w="658" w:type="dxa"/>
            <w:tcBorders/>
            <w:shd w:fill="C8541A" w:color="auto" w:val="clear"/>
            <w:vAlign w:val="top"/>
          </w:tcPr>
          <w:p>
            <w:pPr>
              <w:pBdr/>
              <w:pStyle w:val="Normal"/>
              <w:spacing/>
              <w:ind/>
              <w:jc w:val="center"/>
              <w:rPr>
                <w:rFonts w:ascii="Calibri" w:hAnsi="Calibri" w:cs="Calibri"/>
                <w:color w:val="FFFFFF"/>
                <w:sz w:val="18"/>
                <w:szCs w:val="18"/>
              </w:rPr>
            </w:pPr>
            <w:r>
              <w:rPr>
                <w:rFonts w:ascii="Calibri" w:hAnsi="Calibri" w:cs="Calibri"/>
                <w:color w:val="FFFFFF"/>
                <w:sz w:val="18"/>
                <w:szCs w:val="18"/>
              </w:rPr>
              <w:t xml:space="preserve">28</w:t>
            </w:r>
          </w:p>
        </w:tc>
        <w:tc>
          <w:tcPr>
            <w:tcW w:w="2561" w:type="dxa"/>
            <w:tcMar>
              <w:top w:w="60" w:type="dxa"/>
              <w:left w:w="100" w:type="dxa"/>
              <w:bottom w:w="60" w:type="dxa"/>
              <w:right w:w="100" w:type="dxa"/>
            </w:tcMar>
            <w:tcBorders/>
            <w:shd w:fill="C8541A" w:color="auto" w:val="clear"/>
            <w:vAlign w:val="top"/>
            <w:gridSpan w:val="2"/>
          </w:tcPr>
          <w:p>
            <w:pPr>
              <w:pBdr/>
              <w:pStyle w:val="Normal"/>
              <w:spacing/>
              <w:ind/>
              <w:rPr/>
            </w:pPr>
            <w:r>
              <w:rPr>
                <w:rFonts w:ascii="Calibri" w:hAnsi="Calibri" w:cs="Calibri"/>
                <w:color w:val="FFFFFF"/>
                <w:sz w:val="18"/>
                <w:szCs w:val="18"/>
              </w:rPr>
              <w:t xml:space="preserve">F.  TAX AND COMPLIANCE</w:t>
            </w:r>
          </w:p>
        </w:tc>
        <w:tc>
          <w:tcPr>
            <w:tcW w:w="1558" w:type="dxa"/>
            <w:tcBorders/>
            <w:shd w:fill="C8541A" w:color="auto" w:val="clear"/>
            <w:vAlign w:val="top"/>
          </w:tcPr>
          <w:p>
            <w:pPr>
              <w:pBdr/>
              <w:pStyle w:val="Normal"/>
              <w:spacing/>
              <w:ind/>
              <w:jc w:val="center"/>
              <w:rPr/>
            </w:pPr>
          </w:p>
        </w:tc>
        <w:tc>
          <w:tcPr>
            <w:tcW w:w="1213" w:type="dxa"/>
            <w:tcMar>
              <w:top w:w="60" w:type="dxa"/>
              <w:left w:w="100" w:type="dxa"/>
              <w:bottom w:w="60" w:type="dxa"/>
              <w:right w:w="100" w:type="dxa"/>
            </w:tcMar>
            <w:tcBorders/>
            <w:shd w:fill="C8541A" w:color="auto" w:val="clear"/>
            <w:vAlign w:val="top"/>
          </w:tcPr>
          <w:p>
            <w:pPr>
              <w:pBdr/>
              <w:pStyle w:val="Normal"/>
              <w:spacing/>
              <w:ind/>
              <w:rPr/>
            </w:pPr>
          </w:p>
        </w:tc>
        <w:tc>
          <w:tcPr>
            <w:tcW w:w="898" w:type="dxa"/>
            <w:tcBorders/>
            <w:shd w:fill="C8541A" w:color="auto" w:val="clear"/>
            <w:vAlign w:val="top"/>
          </w:tcPr>
          <w:p>
            <w:pPr>
              <w:pBdr/>
              <w:pStyle w:val="Normal"/>
              <w:spacing/>
              <w:ind/>
              <w:jc w:val="center"/>
              <w:rPr/>
            </w:pPr>
          </w:p>
        </w:tc>
        <w:tc>
          <w:tcPr>
            <w:tcW w:w="7142" w:type="dxa"/>
            <w:tcMar>
              <w:top w:w="60" w:type="dxa"/>
              <w:left w:w="100" w:type="dxa"/>
              <w:bottom w:w="60" w:type="dxa"/>
              <w:right w:w="100" w:type="dxa"/>
            </w:tcMar>
            <w:tcBorders/>
            <w:shd w:fill="C8541A" w:color="auto" w:val="clear"/>
            <w:vAlign w:val="top"/>
            <w:gridSpan w:val="2"/>
          </w:tcPr>
          <w:p>
            <w:pPr>
              <w:pBdr/>
              <w:pStyle w:val="Normal"/>
              <w:spacing/>
              <w:ind/>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29</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1A2540"/>
                <w:sz w:val="18"/>
                <w:szCs w:val="18"/>
              </w:rPr>
              <w:t xml:space="preserve">NEXT 40-YR CERTIFICATION</w:t>
            </w:r>
          </w:p>
        </w:tc>
        <w:tc>
          <w:tcPr>
            <w:tcW w:w="1558" w:type="dxa"/>
            <w:tcBorders/>
            <w:shd w:fill="F2F2F0"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i/>
                <w:iCs/>
                <w:color w:val="6B6B6B"/>
                <w:sz w:val="18"/>
                <w:szCs w:val="18"/>
              </w:rPr>
              <w:t xml:space="preserve">next_40yr_certification</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b/>
                <w:bCs/>
                <w:color w:val="C8541A"/>
                <w:sz w:val="18"/>
                <w:szCs w:val="18"/>
              </w:rPr>
              <w:t xml:space="preserve">↑ Uploaded</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color w:val="222222"/>
                <w:sz w:val="18"/>
                <w:szCs w:val="18"/>
              </w:rPr>
              <w:t xml:space="preserve">Year the property's next 40-year recertification is due. Supplied via Excel/import table. Displayed on the property card for compliance awareness.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30</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1A2540"/>
                <w:sz w:val="18"/>
                <w:szCs w:val="18"/>
              </w:rPr>
              <w:t xml:space="preserve">ZONING</w:t>
            </w:r>
          </w:p>
        </w:tc>
        <w:tc>
          <w:tcPr>
            <w:tcW w:w="1558" w:type="dxa"/>
            <w:tcBorders/>
            <w:shd w:fill="FFFFFF"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i/>
                <w:iCs/>
                <w:color w:val="6B6B6B"/>
                <w:sz w:val="18"/>
                <w:szCs w:val="18"/>
              </w:rPr>
              <w:t xml:space="preserve">zoning</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b/>
                <w:bCs/>
                <w:color w:val="C8541A"/>
                <w:sz w:val="18"/>
                <w:szCs w:val="18"/>
              </w:rPr>
              <w:t xml:space="preserve">↑ Uploaded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color w:val="222222"/>
                <w:sz w:val="18"/>
                <w:szCs w:val="18"/>
              </w:rPr>
              <w:t xml:space="preserve">Zoning designation of the property (e.g. RM-24). Supplied via Excel/import table. Displayed on the card for reference.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31</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1A2540"/>
                <w:sz w:val="18"/>
                <w:szCs w:val="18"/>
              </w:rPr>
              <w:t xml:space="preserve">REMAINING TAX BASIS</w:t>
            </w:r>
          </w:p>
        </w:tc>
        <w:tc>
          <w:tcPr>
            <w:tcW w:w="1558" w:type="dxa"/>
            <w:tcBorders/>
            <w:shd w:fill="F2F2F0" w:color="auto" w:val="clear"/>
            <w:vAlign w:val="top"/>
          </w:tcPr>
          <w:p>
            <w:pPr>
              <w:pBdr/>
              <w:pStyle w:val="Normal"/>
              <w:spacing/>
              <w:ind/>
              <w:jc w:val="center"/>
              <w:rPr/>
            </w:pPr>
            <w:r>
              <w:rPr>
                <w:rFonts w:ascii="Calibri" w:eastAsia="Calibri" w:hAnsi="Calibri" w:cs="Calibri"/>
                <w:b/>
                <w:bCs/>
                <w:color w:val="C8541A"/>
                <w:sz w:val="18"/>
                <w:szCs w:val="18"/>
              </w:rPr>
              <w:t xml:space="preserve">remaining_tax_basis</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b/>
                <w:bCs/>
                <w:color w:val="C8541A"/>
                <w:sz w:val="18"/>
                <w:szCs w:val="18"/>
              </w:rPr>
              <w:t xml:space="preserve">↑ Uploaded</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color w:val="222222"/>
                <w:sz w:val="18"/>
                <w:szCs w:val="18"/>
              </w:rPr>
              <w:t xml:space="preserve">Remaining tax basis of the property in dollars — the remaining depreciable value the IRS allows the owner to write off. Used to calculate the Basis True-Up.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32</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rFonts w:ascii="Calibri" w:eastAsia="Calibri" w:hAnsi="Calibri" w:cs="Calibri"/>
                <w:b/>
                <w:bCs/>
                <w:color w:val="1A2540"/>
                <w:sz w:val="18"/>
                <w:szCs w:val="18"/>
              </w:rPr>
            </w:pPr>
            <w:r>
              <w:rPr>
                <w:rFonts w:ascii="Calibri" w:eastAsia="Calibri" w:hAnsi="Calibri" w:cs="Calibri"/>
                <w:b/>
                <w:bCs/>
                <w:color w:val="1A2540"/>
                <w:sz w:val="18"/>
                <w:szCs w:val="18"/>
              </w:rPr>
              <w:t xml:space="preserve">BLANK</w:t>
            </w:r>
          </w:p>
        </w:tc>
        <w:tc>
          <w:tcPr>
            <w:tcW w:w="1558" w:type="dxa"/>
            <w:tcBorders/>
            <w:shd w:fill="F2F2F0" w:color="auto" w:val="clear"/>
            <w:vAlign w:val="top"/>
          </w:tcPr>
          <w:p>
            <w:pPr>
              <w:pBdr/>
              <w:pStyle w:val="Normal"/>
              <w:spacing/>
              <w:ind/>
              <w:jc w:val="center"/>
              <w:rPr>
                <w:rFonts w:ascii="Calibri" w:eastAsia="Calibri" w:hAnsi="Calibri" w:cs="Calibri"/>
                <w:b/>
                <w:bCs/>
                <w:color w:val="C8541A"/>
                <w:sz w:val="18"/>
                <w:szCs w:val="18"/>
              </w:rPr>
            </w:pPr>
          </w:p>
        </w:tc>
        <w:tc>
          <w:tcPr>
            <w:tcW w:w="1213" w:type="dxa"/>
            <w:tcMar>
              <w:top w:w="60" w:type="dxa"/>
              <w:left w:w="100" w:type="dxa"/>
              <w:bottom w:w="60" w:type="dxa"/>
              <w:right w:w="100" w:type="dxa"/>
            </w:tcMar>
            <w:tcBorders/>
            <w:shd w:fill="F2F2F0" w:color="auto" w:val="clear"/>
            <w:vAlign w:val="top"/>
          </w:tcPr>
          <w:p>
            <w:pPr>
              <w:pBdr/>
              <w:pStyle w:val="Normal"/>
              <w:spacing/>
              <w:ind/>
              <w:rPr>
                <w:rFonts w:ascii="Calibri" w:eastAsia="Calibri" w:hAnsi="Calibri" w:cs="Calibri"/>
                <w:b/>
                <w:bCs/>
                <w:color w:val="C8541A"/>
                <w:sz w:val="18"/>
                <w:szCs w:val="18"/>
              </w:rPr>
            </w:pPr>
            <w:r>
              <w:rPr>
                <w:rFonts w:ascii="Calibri" w:eastAsia="Calibri" w:hAnsi="Calibri" w:cs="Calibri"/>
                <w:b/>
                <w:bCs/>
                <w:color w:val="C8541A"/>
                <w:sz w:val="18"/>
                <w:szCs w:val="18"/>
              </w:rPr>
              <w:t xml:space="preserve">------------------</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p>
        </w:tc>
        <w:tc>
          <w:tcPr>
            <w:tcW w:w="7142" w:type="dxa"/>
            <w:tcMar>
              <w:top w:w="60" w:type="dxa"/>
              <w:left w:w="100" w:type="dxa"/>
              <w:bottom w:w="60" w:type="dxa"/>
              <w:right w:w="100" w:type="dxa"/>
            </w:tcMar>
            <w:tcBorders/>
            <w:shd w:fill="F2F2F0" w:color="auto" w:val="clear"/>
            <w:vAlign w:val="top"/>
            <w:gridSpan w:val="2"/>
          </w:tcPr>
          <w:p>
            <w:pPr>
              <w:pBdr/>
              <w:pStyle w:val="Normal"/>
              <w:spacing/>
              <w:ind/>
              <w:rPr>
                <w:rFonts w:ascii="Calibri" w:eastAsia="Calibri" w:hAnsi="Calibri" w:cs="Calibri"/>
                <w:color w:val="222222"/>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33</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1A2540"/>
                <w:sz w:val="18"/>
                <w:szCs w:val="18"/>
              </w:rPr>
              <w:t xml:space="preserve">DEPRECIATION 2025</w:t>
            </w:r>
          </w:p>
        </w:tc>
        <w:tc>
          <w:tcPr>
            <w:tcW w:w="1558" w:type="dxa"/>
            <w:tcBorders/>
            <w:shd w:fill="FFFFFF"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b/>
                <w:bCs/>
                <w:color w:val="C8541A"/>
                <w:sz w:val="18"/>
                <w:szCs w:val="18"/>
              </w:rPr>
              <w:t xml:space="preserve">depreciation_2025</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b/>
                <w:bCs/>
                <w:color w:val="C8541A"/>
                <w:sz w:val="18"/>
                <w:szCs w:val="18"/>
              </w:rPr>
              <w:t xml:space="preserve">↑ Uploaded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color w:val="222222"/>
                <w:sz w:val="18"/>
                <w:szCs w:val="18"/>
              </w:rPr>
              <w:t xml:space="preserve">Annual depreciation tax shield for the current year. Typically: Tax Basis ÷ remaining depreciable life × effective tax rate. Displayed on the card for reference.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B4C6E7"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34</w:t>
            </w:r>
          </w:p>
        </w:tc>
        <w:tc>
          <w:tcPr>
            <w:tcW w:w="1296" w:type="dxa"/>
            <w:tcBorders/>
            <w:shd w:fill="B4C6E7" w:color="auto" w:val="clear"/>
            <w:vAlign w:val="top"/>
          </w:tcPr>
          <w:p>
            <w:pPr>
              <w:pBdr/>
              <w:pStyle w:val="Normal"/>
              <w:spacing/>
              <w:ind/>
              <w:rPr>
                <w:rFonts w:ascii="Calibri" w:hAnsi="Calibri" w:cs="Calibri"/>
                <w:b/>
                <w:bCs/>
                <w:color w:val="1A2540"/>
                <w:sz w:val="18"/>
                <w:szCs w:val="18"/>
              </w:rPr>
            </w:pPr>
          </w:p>
        </w:tc>
        <w:tc>
          <w:tcPr>
            <w:tcW w:w="4036" w:type="dxa"/>
            <w:tcMar>
              <w:top w:w="60" w:type="dxa"/>
              <w:left w:w="100" w:type="dxa"/>
              <w:bottom w:w="60" w:type="dxa"/>
              <w:right w:w="100" w:type="dxa"/>
            </w:tcMar>
            <w:tcBorders/>
            <w:shd w:fill="B4C6E7" w:color="auto" w:val="clear"/>
            <w:vAlign w:val="top"/>
            <w:gridSpan w:val="3"/>
          </w:tcPr>
          <w:p>
            <w:pPr>
              <w:pBdr/>
              <w:pStyle w:val="Normal"/>
              <w:spacing/>
              <w:ind/>
              <w:jc w:val="center"/>
              <w:rPr>
                <w:rFonts w:ascii="Calibri" w:hAnsi="Calibri" w:cs="Calibri"/>
                <w:b/>
                <w:bCs/>
                <w:color w:val="1A2540"/>
                <w:sz w:val="18"/>
                <w:szCs w:val="18"/>
              </w:rPr>
            </w:pPr>
            <w:r>
              <w:rPr>
                <w:rFonts w:ascii="Calibri" w:hAnsi="Calibri" w:cs="Calibri"/>
                <w:b/>
                <w:bCs/>
                <w:color w:val="1A2540"/>
                <w:sz w:val="18"/>
                <w:szCs w:val="18"/>
              </w:rPr>
              <w:t xml:space="preserve">PARTNER TOTALS AND PROPORTIONALITY CHECK</w:t>
            </w:r>
          </w:p>
        </w:tc>
        <w:tc>
          <w:tcPr>
            <w:tcW w:w="898" w:type="dxa"/>
            <w:tcBorders/>
            <w:shd w:fill="B4C6E7" w:color="auto" w:val="clear"/>
            <w:vAlign w:val="top"/>
          </w:tcPr>
          <w:p>
            <w:pPr>
              <w:pBdr/>
              <w:pStyle w:val="Normal"/>
              <w:spacing/>
              <w:ind/>
              <w:jc w:val="center"/>
              <w:rPr>
                <w:rFonts w:ascii="Calibri" w:eastAsia="Calibri" w:hAnsi="Calibri" w:cs="Calibri"/>
                <w:b/>
                <w:bCs/>
                <w:color w:val="C8541A"/>
                <w:sz w:val="18"/>
                <w:szCs w:val="18"/>
              </w:rPr>
            </w:pPr>
          </w:p>
        </w:tc>
        <w:tc>
          <w:tcPr>
            <w:tcW w:w="2645" w:type="dxa"/>
            <w:tcMar>
              <w:top w:w="60" w:type="dxa"/>
              <w:left w:w="100" w:type="dxa"/>
              <w:bottom w:w="60" w:type="dxa"/>
              <w:right w:w="100" w:type="dxa"/>
            </w:tcMar>
            <w:tcBorders/>
            <w:shd w:fill="B4C6E7" w:color="auto" w:val="clear"/>
            <w:vAlign w:val="top"/>
          </w:tcPr>
          <w:p>
            <w:pPr>
              <w:pBdr/>
              <w:pStyle w:val="Normal"/>
              <w:spacing/>
              <w:ind/>
              <w:rPr>
                <w:rFonts w:ascii="Calibri" w:eastAsia="Calibri" w:hAnsi="Calibri" w:cs="Calibri"/>
                <w:b/>
                <w:bCs/>
                <w:color w:val="C8541A"/>
                <w:sz w:val="18"/>
                <w:szCs w:val="18"/>
              </w:rPr>
            </w:pPr>
          </w:p>
        </w:tc>
        <w:tc>
          <w:tcPr>
            <w:tcW w:w="4497" w:type="dxa"/>
            <w:tcMar>
              <w:top w:w="60" w:type="dxa"/>
              <w:left w:w="100" w:type="dxa"/>
              <w:bottom w:w="60" w:type="dxa"/>
              <w:right w:w="100" w:type="dxa"/>
            </w:tcMar>
            <w:tcBorders/>
            <w:shd w:fill="B4C6E7" w:color="auto" w:val="clear"/>
            <w:vAlign w:val="top"/>
          </w:tcPr>
          <w:p>
            <w:pPr>
              <w:pBdr/>
              <w:pStyle w:val="Normal"/>
              <w:spacing/>
              <w:ind/>
              <w:rPr>
                <w:rFonts w:ascii="Calibri" w:eastAsia="Calibri" w:hAnsi="Calibri" w:cs="Calibri"/>
                <w:color w:val="222222"/>
                <w:sz w:val="18"/>
                <w:szCs w:val="18"/>
              </w:rPr>
            </w:pPr>
            <w:r>
              <w:rPr>
                <w:rFonts w:ascii="Calibri" w:eastAsia="Calibri" w:hAnsi="Calibri" w:cs="Calibri"/>
                <w:color w:val="222222"/>
                <w:sz w:val="18"/>
                <w:szCs w:val="18"/>
              </w:rPr>
              <w:t xml:space="preserve">Partner Panel Totals (Aggregated Across Each Partner's Properties)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35</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1A2540"/>
                <w:sz w:val="18"/>
                <w:szCs w:val="18"/>
              </w:rPr>
              <w:t xml:space="preserve">Market Value (total)</w:t>
            </w:r>
          </w:p>
        </w:tc>
        <w:tc>
          <w:tcPr>
            <w:tcW w:w="1558" w:type="dxa"/>
            <w:tcBorders/>
            <w:shd w:fill="FFFFFF"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i/>
                <w:iCs/>
                <w:color w:val="6B6B6B"/>
                <w:sz w:val="18"/>
                <w:szCs w:val="18"/>
              </w:rPr>
              <w:t xml:space="preserve">market_value_total</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color w:val="222222"/>
                <w:sz w:val="18"/>
                <w:szCs w:val="18"/>
              </w:rPr>
              <w:t xml:space="preserve">Sum of market_value for all properties assigned to this partner.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36</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1A2540"/>
                <w:sz w:val="18"/>
                <w:szCs w:val="18"/>
              </w:rPr>
              <w:t xml:space="preserve">Deferred CapEx (total)</w:t>
            </w:r>
          </w:p>
        </w:tc>
        <w:tc>
          <w:tcPr>
            <w:tcW w:w="1558" w:type="dxa"/>
            <w:tcBorders/>
            <w:shd w:fill="F2F2F0"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i/>
                <w:iCs/>
                <w:color w:val="6B6B6B"/>
                <w:sz w:val="18"/>
                <w:szCs w:val="18"/>
              </w:rPr>
              <w:t xml:space="preserve">deferred_capex_total</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color w:val="222222"/>
                <w:sz w:val="18"/>
                <w:szCs w:val="18"/>
              </w:rPr>
              <w:t xml:space="preserve">Sum of deferred_capex for all properties assigned to this partner.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37</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1A2540"/>
                <w:sz w:val="18"/>
                <w:szCs w:val="18"/>
              </w:rPr>
              <w:t xml:space="preserve">Adj. Market Value (total)</w:t>
            </w:r>
          </w:p>
        </w:tc>
        <w:tc>
          <w:tcPr>
            <w:tcW w:w="1558" w:type="dxa"/>
            <w:tcBorders/>
            <w:shd w:fill="FFFFFF"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i/>
                <w:iCs/>
                <w:color w:val="6B6B6B"/>
                <w:sz w:val="18"/>
                <w:szCs w:val="18"/>
              </w:rPr>
              <w:t xml:space="preserve">adj_market_value_total</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color w:val="222222"/>
                <w:sz w:val="18"/>
                <w:szCs w:val="18"/>
              </w:rPr>
              <w:t xml:space="preserve">Sum of Adj. Market Value for all properties assigned to this partner.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38</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1A2540"/>
                <w:sz w:val="18"/>
                <w:szCs w:val="18"/>
              </w:rPr>
              <w:t xml:space="preserve">Loan Balance (total)</w:t>
            </w:r>
          </w:p>
        </w:tc>
        <w:tc>
          <w:tcPr>
            <w:tcW w:w="1558" w:type="dxa"/>
            <w:tcBorders/>
            <w:shd w:fill="F2F2F0"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i/>
                <w:iCs/>
                <w:color w:val="6B6B6B"/>
                <w:sz w:val="18"/>
                <w:szCs w:val="18"/>
              </w:rPr>
              <w:t xml:space="preserve">loan_balance_total</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color w:val="222222"/>
                <w:sz w:val="18"/>
                <w:szCs w:val="18"/>
              </w:rPr>
              <w:t xml:space="preserve">Sum of loan_balance for all properties assigned to this partner.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39</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1A2540"/>
                <w:sz w:val="18"/>
                <w:szCs w:val="18"/>
              </w:rPr>
              <w:t xml:space="preserve">Debt NPV (total)</w:t>
            </w:r>
          </w:p>
        </w:tc>
        <w:tc>
          <w:tcPr>
            <w:tcW w:w="1558" w:type="dxa"/>
            <w:tcBorders/>
            <w:shd w:fill="FFFFFF"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i/>
                <w:iCs/>
                <w:color w:val="6B6B6B"/>
                <w:sz w:val="18"/>
                <w:szCs w:val="18"/>
              </w:rPr>
              <w:t xml:space="preserve">debt_npv_total</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color w:val="222222"/>
                <w:sz w:val="18"/>
                <w:szCs w:val="18"/>
              </w:rPr>
              <w:t xml:space="preserve">Sum of Debt NPV for all properties assigned to this partner.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40</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1A2540"/>
                <w:sz w:val="18"/>
                <w:szCs w:val="18"/>
              </w:rPr>
              <w:t xml:space="preserve">NPV Equity (total)</w:t>
            </w:r>
          </w:p>
        </w:tc>
        <w:tc>
          <w:tcPr>
            <w:tcW w:w="1558" w:type="dxa"/>
            <w:tcBorders/>
            <w:shd w:fill="F2F2F0"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i/>
                <w:iCs/>
                <w:color w:val="6B6B6B"/>
                <w:sz w:val="18"/>
                <w:szCs w:val="18"/>
              </w:rPr>
              <w:t xml:space="preserve">npv_equity_total</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color w:val="222222"/>
                <w:sz w:val="18"/>
                <w:szCs w:val="18"/>
              </w:rPr>
              <w:t xml:space="preserve">Sum of NPV Equity for all properties assigned to this partner. This is the primary settlement metric.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41</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1A2540"/>
                <w:sz w:val="18"/>
                <w:szCs w:val="18"/>
              </w:rPr>
              <w:t xml:space="preserve">NOI / yr (total)</w:t>
            </w:r>
          </w:p>
        </w:tc>
        <w:tc>
          <w:tcPr>
            <w:tcW w:w="1558" w:type="dxa"/>
            <w:tcBorders/>
            <w:shd w:fill="FFFFFF"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i/>
                <w:iCs/>
                <w:color w:val="6B6B6B"/>
                <w:sz w:val="18"/>
                <w:szCs w:val="18"/>
              </w:rPr>
              <w:t xml:space="preserve">noi_total</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color w:val="222222"/>
                <w:sz w:val="18"/>
                <w:szCs w:val="18"/>
              </w:rPr>
              <w:t xml:space="preserve">Sum of noi for all properties assigned to this partner.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42</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1A2540"/>
                <w:sz w:val="18"/>
                <w:szCs w:val="18"/>
              </w:rPr>
              <w:t xml:space="preserve">Ann. Debt Service (total)</w:t>
            </w:r>
          </w:p>
        </w:tc>
        <w:tc>
          <w:tcPr>
            <w:tcW w:w="1558" w:type="dxa"/>
            <w:tcBorders/>
            <w:shd w:fill="F2F2F0"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i/>
                <w:iCs/>
                <w:color w:val="6B6B6B"/>
                <w:sz w:val="18"/>
                <w:szCs w:val="18"/>
              </w:rPr>
              <w:t xml:space="preserve">annual_debt_service_total</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color w:val="222222"/>
                <w:sz w:val="18"/>
                <w:szCs w:val="18"/>
              </w:rPr>
              <w:t xml:space="preserve">Sum of Annual Debt Service for all properties assigned to this partner.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43</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1A2540"/>
                <w:sz w:val="18"/>
                <w:szCs w:val="18"/>
              </w:rPr>
              <w:t xml:space="preserve">Net CF / yr (total)</w:t>
            </w:r>
          </w:p>
        </w:tc>
        <w:tc>
          <w:tcPr>
            <w:tcW w:w="1558" w:type="dxa"/>
            <w:tcBorders/>
            <w:shd w:fill="FFFFFF"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i/>
                <w:iCs/>
                <w:color w:val="6B6B6B"/>
                <w:sz w:val="18"/>
                <w:szCs w:val="18"/>
              </w:rPr>
              <w:t xml:space="preserve">net_cash_flow_total</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color w:val="222222"/>
                <w:sz w:val="18"/>
                <w:szCs w:val="18"/>
              </w:rPr>
              <w:t xml:space="preserve">Sum of Net Cash Flow / yr for all properties assigned to this partner.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44</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rFonts w:ascii="Calibri" w:hAnsi="Calibri" w:cs="Calibri"/>
                <w:b/>
                <w:bCs/>
                <w:color w:val="1A2540"/>
                <w:sz w:val="18"/>
                <w:szCs w:val="18"/>
              </w:rPr>
            </w:pPr>
            <w:r>
              <w:rPr>
                <w:rFonts w:ascii="Calibri" w:hAnsi="Calibri" w:cs="Calibri"/>
                <w:b/>
                <w:bCs/>
                <w:color w:val="1A2540"/>
                <w:sz w:val="18"/>
                <w:szCs w:val="18"/>
              </w:rPr>
              <w:t xml:space="preserve">Properties</w:t>
            </w:r>
          </w:p>
        </w:tc>
        <w:tc>
          <w:tcPr>
            <w:tcW w:w="1558" w:type="dxa"/>
            <w:tcBorders/>
            <w:shd w:fill="FFFFFF"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i/>
                <w:iCs/>
                <w:color w:val="6B6B6B"/>
                <w:sz w:val="18"/>
                <w:szCs w:val="18"/>
              </w:rPr>
              <w:t xml:space="preserve">properties_count</w:t>
            </w:r>
          </w:p>
        </w:tc>
        <w:tc>
          <w:tcPr>
            <w:tcW w:w="1213" w:type="dxa"/>
            <w:tcMar>
              <w:top w:w="60" w:type="dxa"/>
              <w:left w:w="100" w:type="dxa"/>
              <w:bottom w:w="60" w:type="dxa"/>
              <w:right w:w="100" w:type="dxa"/>
            </w:tcMar>
            <w:tcBorders/>
            <w:shd w:fill="FFFFFF" w:color="auto" w:val="clear"/>
            <w:vAlign w:val="top"/>
          </w:tcPr>
          <w:p>
            <w:pPr>
              <w:pBdr/>
              <w:pStyle w:val="Normal"/>
              <w:spacing/>
              <w:ind/>
              <w:rPr>
                <w:rFonts w:ascii="Calibri" w:eastAsia="Calibri" w:hAnsi="Calibri" w:cs="Calibri"/>
                <w:b/>
                <w:bCs/>
                <w:color w:val="C8541A"/>
                <w:sz w:val="18"/>
                <w:szCs w:val="18"/>
              </w:rPr>
            </w:pP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rFonts w:ascii="Calibri" w:eastAsia="Calibri" w:hAnsi="Calibri" w:cs="Calibri"/>
                <w:color w:val="222222"/>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45</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1A2540"/>
                <w:sz w:val="18"/>
                <w:szCs w:val="18"/>
              </w:rPr>
              <w:t xml:space="preserve">Remaining Tax Basis (total)</w:t>
            </w:r>
          </w:p>
        </w:tc>
        <w:tc>
          <w:tcPr>
            <w:tcW w:w="1558" w:type="dxa"/>
            <w:tcBorders/>
            <w:shd w:fill="F2F2F0" w:color="auto" w:val="clear"/>
            <w:vAlign w:val="top"/>
          </w:tcPr>
          <w:p>
            <w:pPr>
              <w:pBdr/>
              <w:pStyle w:val="Normal"/>
              <w:spacing/>
              <w:ind/>
              <w:jc w:val="center"/>
              <w:rPr/>
            </w:pPr>
            <w:r>
              <w:rPr>
                <w:rFonts w:ascii="Calibri" w:eastAsia="Calibri" w:hAnsi="Calibri" w:cs="Calibri"/>
                <w:i/>
                <w:iCs/>
                <w:color w:val="6B6B6B"/>
                <w:sz w:val="18"/>
                <w:szCs w:val="18"/>
              </w:rPr>
              <w:t xml:space="preserve">remaining_tax_basis_total</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color w:val="222222"/>
                <w:sz w:val="18"/>
                <w:szCs w:val="18"/>
              </w:rPr>
              <w:t xml:space="preserve">Sum of remaining_tax_basis for all properties assigned to this partner. Compared to each partner's proportional target remaining tax basis to compute the Basis True-Up.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46</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rFonts w:ascii="Calibri" w:hAnsi="Calibri" w:cs="Calibri"/>
                <w:b/>
                <w:bCs/>
                <w:color w:val="1A2540"/>
                <w:sz w:val="18"/>
                <w:szCs w:val="18"/>
              </w:rPr>
            </w:pPr>
            <w:r>
              <w:rPr>
                <w:rFonts w:ascii="Calibri" w:eastAsia="Calibri" w:hAnsi="Calibri" w:cs="Calibri"/>
                <w:b/>
                <w:bCs/>
                <w:color w:val="1A2540"/>
                <w:sz w:val="18"/>
                <w:szCs w:val="18"/>
              </w:rPr>
              <w:t xml:space="preserve">Bid Difference (total)</w:t>
            </w:r>
          </w:p>
        </w:tc>
        <w:tc>
          <w:tcPr>
            <w:tcW w:w="1558" w:type="dxa"/>
            <w:tcBorders/>
            <w:shd w:fill="FFFFFF"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i/>
                <w:iCs/>
                <w:color w:val="6B6B6B"/>
                <w:sz w:val="18"/>
                <w:szCs w:val="18"/>
              </w:rPr>
              <w:t xml:space="preserve">bid_difference_total</w:t>
            </w:r>
          </w:p>
        </w:tc>
        <w:tc>
          <w:tcPr>
            <w:tcW w:w="1213" w:type="dxa"/>
            <w:tcMar>
              <w:top w:w="60" w:type="dxa"/>
              <w:left w:w="100" w:type="dxa"/>
              <w:bottom w:w="60" w:type="dxa"/>
              <w:right w:w="100" w:type="dxa"/>
            </w:tcMar>
            <w:tcBorders/>
            <w:shd w:fill="FFFFFF" w:color="auto" w:val="clear"/>
            <w:vAlign w:val="top"/>
          </w:tcPr>
          <w:p>
            <w:pPr>
              <w:pBdr/>
              <w:pStyle w:val="Normal"/>
              <w:spacing/>
              <w:ind/>
              <w:rPr>
                <w:rFonts w:ascii="Calibri" w:eastAsia="Calibri" w:hAnsi="Calibri" w:cs="Calibri"/>
                <w:b/>
                <w:bCs/>
                <w:color w:val="C8541A"/>
                <w:sz w:val="18"/>
                <w:szCs w:val="18"/>
              </w:rPr>
            </w:pPr>
            <w:r>
              <w:rPr>
                <w:rFonts w:ascii="Calibri" w:eastAsia="Calibri" w:hAnsi="Calibri" w:cs="Calibri"/>
                <w:color w:val="444444"/>
                <w:sz w:val="18"/>
                <w:szCs w:val="18"/>
              </w:rPr>
              <w:t xml:space="preserve">Calculated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rFonts w:ascii="Calibri" w:eastAsia="Calibri" w:hAnsi="Calibri" w:cs="Calibri"/>
                <w:color w:val="222222"/>
                <w:sz w:val="18"/>
                <w:szCs w:val="18"/>
              </w:rPr>
            </w:pPr>
            <w:r>
              <w:rPr>
                <w:rFonts w:ascii="Calibri" w:eastAsia="Calibri" w:hAnsi="Calibri" w:cs="Calibri"/>
                <w:color w:val="222222"/>
                <w:sz w:val="18"/>
                <w:szCs w:val="18"/>
              </w:rPr>
              <w:t xml:space="preserve">Sum of Bid Difference for all properties assigned to this partner.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B4C6E7"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47</w:t>
            </w:r>
          </w:p>
        </w:tc>
        <w:tc>
          <w:tcPr>
            <w:tcW w:w="2561" w:type="dxa"/>
            <w:tcMar>
              <w:top w:w="60" w:type="dxa"/>
              <w:left w:w="100" w:type="dxa"/>
              <w:bottom w:w="60" w:type="dxa"/>
              <w:right w:w="100" w:type="dxa"/>
            </w:tcMar>
            <w:tcBorders/>
            <w:shd w:fill="B4C6E7" w:color="auto" w:val="clear"/>
            <w:vAlign w:val="top"/>
            <w:gridSpan w:val="2"/>
          </w:tcPr>
          <w:p>
            <w:pPr>
              <w:pBdr/>
              <w:pStyle w:val="Normal"/>
              <w:spacing/>
              <w:ind/>
              <w:rPr>
                <w:rFonts w:ascii="Calibri" w:hAnsi="Calibri" w:cs="Calibri"/>
                <w:b/>
                <w:bCs/>
                <w:color w:val="1A2540"/>
                <w:sz w:val="18"/>
                <w:szCs w:val="18"/>
              </w:rPr>
            </w:pPr>
            <w:r>
              <w:rPr>
                <w:rFonts w:ascii="Calibri" w:hAnsi="Calibri" w:cs="Calibri"/>
                <w:b/>
                <w:bCs/>
                <w:color w:val="1A2540"/>
                <w:sz w:val="18"/>
                <w:szCs w:val="18"/>
              </w:rPr>
              <w:t xml:space="preserve">PROPORTIONALITY VS TARGET</w:t>
            </w:r>
          </w:p>
        </w:tc>
        <w:tc>
          <w:tcPr>
            <w:tcW w:w="1558" w:type="dxa"/>
            <w:tcBorders/>
            <w:shd w:fill="B4C6E7" w:color="auto" w:val="clear"/>
            <w:vAlign w:val="top"/>
          </w:tcPr>
          <w:p>
            <w:pPr>
              <w:pBdr/>
              <w:pStyle w:val="Normal"/>
              <w:spacing/>
              <w:ind/>
              <w:jc w:val="center"/>
              <w:rPr>
                <w:rFonts w:ascii="Calibri" w:eastAsia="Calibri" w:hAnsi="Calibri" w:cs="Calibri"/>
                <w:b/>
                <w:bCs/>
                <w:color w:val="C8541A"/>
                <w:sz w:val="18"/>
                <w:szCs w:val="18"/>
              </w:rPr>
            </w:pPr>
          </w:p>
        </w:tc>
        <w:tc>
          <w:tcPr>
            <w:tcW w:w="1213" w:type="dxa"/>
            <w:tcMar>
              <w:top w:w="60" w:type="dxa"/>
              <w:left w:w="100" w:type="dxa"/>
              <w:bottom w:w="60" w:type="dxa"/>
              <w:right w:w="100" w:type="dxa"/>
            </w:tcMar>
            <w:tcBorders/>
            <w:shd w:fill="B4C6E7" w:color="auto" w:val="clear"/>
            <w:vAlign w:val="top"/>
          </w:tcPr>
          <w:p>
            <w:pPr>
              <w:pBdr/>
              <w:pStyle w:val="Normal"/>
              <w:spacing/>
              <w:ind/>
              <w:rPr>
                <w:rFonts w:ascii="Calibri" w:eastAsia="Calibri" w:hAnsi="Calibri" w:cs="Calibri"/>
                <w:b/>
                <w:bCs/>
                <w:color w:val="C8541A"/>
                <w:sz w:val="18"/>
                <w:szCs w:val="18"/>
              </w:rPr>
            </w:pPr>
          </w:p>
        </w:tc>
        <w:tc>
          <w:tcPr>
            <w:tcW w:w="898" w:type="dxa"/>
            <w:tcBorders/>
            <w:shd w:fill="B4C6E7" w:color="auto" w:val="clear"/>
            <w:vAlign w:val="top"/>
          </w:tcPr>
          <w:p>
            <w:pPr>
              <w:pBdr/>
              <w:pStyle w:val="Normal"/>
              <w:spacing/>
              <w:ind/>
              <w:jc w:val="center"/>
              <w:rPr>
                <w:rFonts w:ascii="Calibri" w:eastAsia="Calibri" w:hAnsi="Calibri" w:cs="Calibri"/>
                <w:b/>
                <w:bCs/>
                <w:color w:val="222222"/>
                <w:sz w:val="18"/>
                <w:szCs w:val="18"/>
              </w:rPr>
            </w:pPr>
          </w:p>
        </w:tc>
        <w:tc>
          <w:tcPr>
            <w:tcW w:w="7142" w:type="dxa"/>
            <w:tcMar>
              <w:top w:w="60" w:type="dxa"/>
              <w:left w:w="100" w:type="dxa"/>
              <w:bottom w:w="60" w:type="dxa"/>
              <w:right w:w="100" w:type="dxa"/>
            </w:tcMar>
            <w:tcBorders/>
            <w:shd w:fill="B4C6E7" w:color="auto" w:val="clear"/>
            <w:vAlign w:val="top"/>
            <w:gridSpan w:val="2"/>
          </w:tcPr>
          <w:p>
            <w:pPr>
              <w:pBdr/>
              <w:pStyle w:val="Normal"/>
              <w:spacing/>
              <w:ind/>
              <w:rPr>
                <w:rFonts w:ascii="Calibri" w:eastAsia="Calibri" w:hAnsi="Calibri" w:cs="Calibri"/>
                <w:b/>
                <w:bCs/>
                <w:color w:val="222222"/>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48</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1A2540"/>
                <w:sz w:val="18"/>
                <w:szCs w:val="18"/>
              </w:rPr>
              <w:t xml:space="preserve">NPV Equity gap</w:t>
            </w:r>
          </w:p>
        </w:tc>
        <w:tc>
          <w:tcPr>
            <w:tcW w:w="1558" w:type="dxa"/>
            <w:tcBorders/>
            <w:shd w:fill="F2F2F0"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i/>
                <w:iCs/>
                <w:color w:val="6B6B6B"/>
                <w:sz w:val="18"/>
                <w:szCs w:val="18"/>
              </w:rPr>
              <w:t xml:space="preserve">npv_equity_gap</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222222"/>
                <w:sz w:val="18"/>
                <w:szCs w:val="18"/>
              </w:rPr>
              <w:t xml:space="preserve">Partner's NPV Equity (total) − (portfolio total NPV Equity × ownership %)</w:t>
            </w:r>
            <w:r>
              <w:rPr>
                <w:rFonts w:ascii="Calibri" w:eastAsia="Calibri" w:hAnsi="Calibri" w:cs="Calibri"/>
                <w:color w:val="222222"/>
                <w:sz w:val="18"/>
                <w:szCs w:val="18"/>
              </w:rPr>
              <w:t xml:space="preserve">. Positive = partner is under-allocated and is owed; negative = over-allocated and owes.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49</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1A2540"/>
                <w:sz w:val="18"/>
                <w:szCs w:val="18"/>
              </w:rPr>
              <w:t xml:space="preserve">Adj. Market Value gap</w:t>
            </w:r>
          </w:p>
        </w:tc>
        <w:tc>
          <w:tcPr>
            <w:tcW w:w="1558" w:type="dxa"/>
            <w:tcBorders/>
            <w:shd w:fill="FFFFFF"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i/>
                <w:iCs/>
                <w:color w:val="6B6B6B"/>
                <w:sz w:val="18"/>
                <w:szCs w:val="18"/>
              </w:rPr>
              <w:t xml:space="preserve">adj_market_value_gap</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222222"/>
                <w:sz w:val="18"/>
                <w:szCs w:val="18"/>
              </w:rPr>
              <w:t xml:space="preserve">Partner's Adj. Market Value (total) − (portfolio total Adj. Market Value × ownership %)</w:t>
            </w:r>
            <w:r>
              <w:rPr>
                <w:rFonts w:ascii="Calibri" w:eastAsia="Calibri" w:hAnsi="Calibri" w:cs="Calibri"/>
                <w:color w:val="222222"/>
                <w:sz w:val="18"/>
                <w:szCs w:val="18"/>
              </w:rPr>
              <w:t xml:space="preser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50</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1A2540"/>
                <w:sz w:val="18"/>
                <w:szCs w:val="18"/>
              </w:rPr>
              <w:t xml:space="preserve">Debt Service gap</w:t>
            </w:r>
          </w:p>
        </w:tc>
        <w:tc>
          <w:tcPr>
            <w:tcW w:w="1558" w:type="dxa"/>
            <w:tcBorders/>
            <w:shd w:fill="F2F2F0"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i/>
                <w:iCs/>
                <w:color w:val="6B6B6B"/>
                <w:sz w:val="18"/>
                <w:szCs w:val="18"/>
              </w:rPr>
              <w:t xml:space="preserve">debt_service_gap</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222222"/>
                <w:sz w:val="18"/>
                <w:szCs w:val="18"/>
              </w:rPr>
              <w:t xml:space="preserve">Partner's Ann. Debt Service (total) − (portfolio total Ann. Debt Service × ownership %)</w:t>
            </w:r>
            <w:r>
              <w:rPr>
                <w:rFonts w:ascii="Calibri" w:eastAsia="Calibri" w:hAnsi="Calibri" w:cs="Calibri"/>
                <w:color w:val="222222"/>
                <w:sz w:val="18"/>
                <w:szCs w:val="18"/>
              </w:rPr>
              <w:t xml:space="preser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51</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1A2540"/>
                <w:sz w:val="18"/>
                <w:szCs w:val="18"/>
              </w:rPr>
              <w:t xml:space="preserve">Net Cash Flow gap</w:t>
            </w:r>
          </w:p>
        </w:tc>
        <w:tc>
          <w:tcPr>
            <w:tcW w:w="1558" w:type="dxa"/>
            <w:tcBorders/>
            <w:shd w:fill="FFFFFF"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i/>
                <w:iCs/>
                <w:color w:val="6B6B6B"/>
                <w:sz w:val="18"/>
                <w:szCs w:val="18"/>
              </w:rPr>
              <w:t xml:space="preserve">net_cash_flow_gap</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222222"/>
                <w:sz w:val="18"/>
                <w:szCs w:val="18"/>
              </w:rPr>
              <w:t xml:space="preserve">Partner's Net CF / yr (total) − (portfolio total Net CF / yr × ownership %)</w:t>
            </w:r>
            <w:r>
              <w:rPr>
                <w:rFonts w:ascii="Calibri" w:eastAsia="Calibri" w:hAnsi="Calibri" w:cs="Calibri"/>
                <w:color w:val="222222"/>
                <w:sz w:val="18"/>
                <w:szCs w:val="18"/>
              </w:rPr>
              <w:t xml:space="preser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52</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1A2540"/>
                <w:sz w:val="18"/>
                <w:szCs w:val="18"/>
              </w:rPr>
              <w:t xml:space="preserve">Basis True-Up</w:t>
            </w:r>
          </w:p>
        </w:tc>
        <w:tc>
          <w:tcPr>
            <w:tcW w:w="1558" w:type="dxa"/>
            <w:tcBorders/>
            <w:shd w:fill="F2F2F0" w:color="auto" w:val="clear"/>
            <w:vAlign w:val="top"/>
          </w:tcPr>
          <w:p>
            <w:pPr>
              <w:pBdr/>
              <w:pStyle w:val="Normal"/>
              <w:spacing/>
              <w:ind/>
              <w:jc w:val="center"/>
              <w:rPr/>
            </w:pPr>
            <w:r>
              <w:rPr>
                <w:rFonts w:ascii="Calibri" w:eastAsia="Calibri" w:hAnsi="Calibri" w:cs="Calibri"/>
                <w:i/>
                <w:iCs/>
                <w:color w:val="6B6B6B"/>
                <w:sz w:val="18"/>
                <w:szCs w:val="18"/>
              </w:rPr>
              <w:t xml:space="preserve">basis_true_up</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222222"/>
                <w:sz w:val="18"/>
                <w:szCs w:val="18"/>
              </w:rPr>
              <w:t xml:space="preserve">(Portfolio total Remaining Tax Basis × ownership %) − Partner's Remaining Tax Basis (total)</w:t>
            </w:r>
            <w:r>
              <w:rPr>
                <w:rFonts w:ascii="Calibri" w:eastAsia="Calibri" w:hAnsi="Calibri" w:cs="Calibri"/>
                <w:color w:val="222222"/>
                <w:sz w:val="18"/>
                <w:szCs w:val="18"/>
              </w:rPr>
              <w:t xml:space="preserve">. Positive means the partner received less remaining tax basis than their proportional share and is owed compensation. The dollar value is the present value of the lost future depreciation benefit, calculated from the depreciation schedule and not discounted a second time.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53</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1A2540"/>
                <w:sz w:val="18"/>
                <w:szCs w:val="18"/>
              </w:rPr>
              <w:t xml:space="preserve">Bid Difference gap</w:t>
            </w:r>
          </w:p>
        </w:tc>
        <w:tc>
          <w:tcPr>
            <w:tcW w:w="1558" w:type="dxa"/>
            <w:tcBorders/>
            <w:shd w:fill="FFFFFF"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i/>
                <w:iCs/>
                <w:color w:val="6B6B6B"/>
                <w:sz w:val="18"/>
                <w:szCs w:val="18"/>
              </w:rPr>
              <w:t xml:space="preserve">bid_difference_gap</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222222"/>
                <w:sz w:val="18"/>
                <w:szCs w:val="18"/>
              </w:rPr>
              <w:t xml:space="preserve">Sum of Bid Differences for properties won by this partner minus the partner's ownership percentage of the total portfolio Bid Differences</w:t>
            </w:r>
            <w:r>
              <w:rPr>
                <w:rFonts w:ascii="Calibri" w:eastAsia="Calibri" w:hAnsi="Calibri" w:cs="Calibri"/>
                <w:color w:val="222222"/>
                <w:sz w:val="18"/>
                <w:szCs w:val="18"/>
              </w:rPr>
              <w:t xml:space="preserve">. Split according to ownership percentage through the shared settlement pot.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54</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1A2540"/>
                <w:sz w:val="18"/>
                <w:szCs w:val="18"/>
              </w:rPr>
              <w:t xml:space="preserve">Total True-Up</w:t>
            </w:r>
          </w:p>
        </w:tc>
        <w:tc>
          <w:tcPr>
            <w:tcW w:w="1558" w:type="dxa"/>
            <w:tcBorders/>
            <w:shd w:fill="F2F2F0" w:color="auto" w:val="clear"/>
            <w:vAlign w:val="top"/>
          </w:tcPr>
          <w:p>
            <w:pPr>
              <w:pBdr/>
              <w:pStyle w:val="Normal"/>
              <w:spacing/>
              <w:ind/>
              <w:jc w:val="center"/>
              <w:rPr>
                <w:rFonts w:ascii="Calibri" w:eastAsia="Calibri" w:hAnsi="Calibri" w:cs="Calibri"/>
                <w:color w:val="444444"/>
                <w:sz w:val="18"/>
                <w:szCs w:val="18"/>
              </w:rPr>
            </w:pPr>
            <w:r>
              <w:rPr>
                <w:rFonts w:ascii="Calibri" w:eastAsia="Calibri" w:hAnsi="Calibri" w:cs="Calibri"/>
                <w:i/>
                <w:iCs/>
                <w:color w:val="6B6B6B"/>
                <w:sz w:val="18"/>
                <w:szCs w:val="18"/>
              </w:rPr>
              <w:t xml:space="preserve">total_true_up</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2F2F0"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222222"/>
                <w:sz w:val="18"/>
                <w:szCs w:val="18"/>
              </w:rPr>
              <w:t xml:space="preserve">Sum of all gap line items above</w:t>
            </w:r>
            <w:r>
              <w:rPr>
                <w:rFonts w:ascii="Calibri" w:eastAsia="Calibri" w:hAnsi="Calibri" w:cs="Calibri"/>
                <w:color w:val="222222"/>
                <w:sz w:val="18"/>
                <w:szCs w:val="18"/>
              </w:rPr>
              <w:t xml:space="preserve">. The partner whose Total True-Up is negative is the one who pays cash to close the gap. By construction the two partners' totals net to zero.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B4C6E7"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55</w:t>
            </w:r>
          </w:p>
        </w:tc>
        <w:tc>
          <w:tcPr>
            <w:tcW w:w="2561" w:type="dxa"/>
            <w:tcMar>
              <w:top w:w="60" w:type="dxa"/>
              <w:left w:w="100" w:type="dxa"/>
              <w:bottom w:w="60" w:type="dxa"/>
              <w:right w:w="100" w:type="dxa"/>
            </w:tcMar>
            <w:tcBorders/>
            <w:shd w:fill="B4C6E7" w:color="auto" w:val="clear"/>
            <w:vAlign w:val="top"/>
            <w:gridSpan w:val="2"/>
          </w:tcPr>
          <w:p>
            <w:pPr>
              <w:pBdr/>
              <w:pStyle w:val="Normal"/>
              <w:spacing/>
              <w:ind/>
              <w:rPr>
                <w:rFonts w:ascii="Calibri" w:hAnsi="Calibri" w:cs="Calibri"/>
                <w:b/>
                <w:bCs/>
                <w:color w:val="1A2540"/>
                <w:sz w:val="18"/>
                <w:szCs w:val="18"/>
              </w:rPr>
            </w:pPr>
            <w:r>
              <w:rPr>
                <w:rFonts w:ascii="Calibri" w:hAnsi="Calibri" w:cs="Calibri"/>
                <w:b/>
                <w:bCs/>
                <w:color w:val="1A2540"/>
                <w:sz w:val="18"/>
                <w:szCs w:val="18"/>
              </w:rPr>
              <w:t xml:space="preserve">GAP ANALYSIS &amp; SETTLEMENT</w:t>
            </w:r>
          </w:p>
        </w:tc>
        <w:tc>
          <w:tcPr>
            <w:tcW w:w="1558" w:type="dxa"/>
            <w:tcBorders/>
            <w:shd w:fill="B4C6E7" w:color="auto" w:val="clear"/>
            <w:vAlign w:val="top"/>
          </w:tcPr>
          <w:p>
            <w:pPr>
              <w:pBdr/>
              <w:pStyle w:val="Normal"/>
              <w:spacing/>
              <w:ind/>
              <w:jc w:val="center"/>
              <w:rPr>
                <w:rFonts w:ascii="Calibri" w:eastAsia="Calibri" w:hAnsi="Calibri" w:cs="Calibri"/>
                <w:b/>
                <w:bCs/>
                <w:color w:val="C8541A"/>
                <w:sz w:val="18"/>
                <w:szCs w:val="18"/>
              </w:rPr>
            </w:pPr>
          </w:p>
        </w:tc>
        <w:tc>
          <w:tcPr>
            <w:tcW w:w="1213" w:type="dxa"/>
            <w:tcMar>
              <w:top w:w="60" w:type="dxa"/>
              <w:left w:w="100" w:type="dxa"/>
              <w:bottom w:w="60" w:type="dxa"/>
              <w:right w:w="100" w:type="dxa"/>
            </w:tcMar>
            <w:tcBorders/>
            <w:shd w:fill="B4C6E7" w:color="auto" w:val="clear"/>
            <w:vAlign w:val="top"/>
          </w:tcPr>
          <w:p>
            <w:pPr>
              <w:pBdr/>
              <w:pStyle w:val="Normal"/>
              <w:spacing/>
              <w:ind/>
              <w:rPr>
                <w:rFonts w:ascii="Calibri" w:eastAsia="Calibri" w:hAnsi="Calibri" w:cs="Calibri"/>
                <w:b/>
                <w:bCs/>
                <w:color w:val="C8541A"/>
                <w:sz w:val="18"/>
                <w:szCs w:val="18"/>
              </w:rPr>
            </w:pPr>
          </w:p>
        </w:tc>
        <w:tc>
          <w:tcPr>
            <w:tcW w:w="898" w:type="dxa"/>
            <w:tcBorders/>
            <w:shd w:fill="B4C6E7" w:color="auto" w:val="clear"/>
            <w:vAlign w:val="top"/>
          </w:tcPr>
          <w:p>
            <w:pPr>
              <w:pBdr/>
              <w:pStyle w:val="Normal"/>
              <w:spacing/>
              <w:ind/>
              <w:jc w:val="center"/>
              <w:rPr>
                <w:rFonts w:ascii="Calibri" w:eastAsia="Calibri" w:hAnsi="Calibri" w:cs="Calibri"/>
                <w:color w:val="222222"/>
                <w:sz w:val="18"/>
                <w:szCs w:val="18"/>
              </w:rPr>
            </w:pPr>
          </w:p>
        </w:tc>
        <w:tc>
          <w:tcPr>
            <w:tcW w:w="7142" w:type="dxa"/>
            <w:tcMar>
              <w:top w:w="60" w:type="dxa"/>
              <w:left w:w="100" w:type="dxa"/>
              <w:bottom w:w="60" w:type="dxa"/>
              <w:right w:w="100" w:type="dxa"/>
            </w:tcMar>
            <w:tcBorders/>
            <w:shd w:fill="B4C6E7" w:color="auto" w:val="clear"/>
            <w:vAlign w:val="top"/>
            <w:gridSpan w:val="2"/>
          </w:tcPr>
          <w:p>
            <w:pPr>
              <w:pBdr/>
              <w:pStyle w:val="Normal"/>
              <w:spacing/>
              <w:ind/>
              <w:rPr>
                <w:rFonts w:ascii="Calibri" w:eastAsia="Calibri" w:hAnsi="Calibri" w:cs="Calibri"/>
                <w:color w:val="222222"/>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56</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rFonts w:ascii="Calibri" w:hAnsi="Calibri" w:cs="Calibri"/>
                <w:b/>
                <w:bCs/>
                <w:color w:val="1A2540"/>
                <w:sz w:val="18"/>
                <w:szCs w:val="18"/>
              </w:rPr>
            </w:pPr>
            <w:r>
              <w:rPr>
                <w:rFonts w:ascii="Calibri" w:hAnsi="Calibri" w:cs="Calibri"/>
                <w:b/>
                <w:bCs/>
                <w:color w:val="1A2540"/>
                <w:sz w:val="18"/>
                <w:szCs w:val="18"/>
              </w:rPr>
              <w:t xml:space="preserve">NPV Equity</w:t>
            </w:r>
          </w:p>
        </w:tc>
        <w:tc>
          <w:tcPr>
            <w:tcW w:w="1558" w:type="dxa"/>
            <w:tcBorders/>
            <w:shd w:fill="FFFFFF"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i/>
                <w:iCs/>
                <w:color w:val="6B6B6B"/>
                <w:sz w:val="18"/>
                <w:szCs w:val="18"/>
              </w:rPr>
              <w:t xml:space="preserve">npv_equity_gap</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222222"/>
                <w:sz w:val="18"/>
                <w:szCs w:val="18"/>
              </w:rPr>
              <w:t xml:space="preserve">(Portfolio total NPV Equity × ownership %) − Partner's NPV Equity (total)</w:t>
            </w:r>
            <w:r>
              <w:rPr>
                <w:rFonts w:ascii="Calibri" w:eastAsia="Calibri" w:hAnsi="Calibri" w:cs="Calibri"/>
                <w:color w:val="222222"/>
                <w:sz w:val="18"/>
                <w:szCs w:val="18"/>
              </w:rPr>
              <w:t xml:space="preserve">. Positive means the partner received less NPV Equity than their proportional target and is owed cash; negative means the partner received more than target and pays cash.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57</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rFonts w:ascii="Calibri" w:hAnsi="Calibri" w:cs="Calibri"/>
                <w:b/>
                <w:bCs/>
                <w:color w:val="1A2540"/>
                <w:sz w:val="18"/>
                <w:szCs w:val="18"/>
              </w:rPr>
            </w:pPr>
            <w:r>
              <w:rPr>
                <w:rFonts w:ascii="Calibri" w:hAnsi="Calibri" w:cs="Calibri"/>
                <w:b/>
                <w:bCs/>
                <w:color w:val="1A2540"/>
                <w:sz w:val="18"/>
                <w:szCs w:val="18"/>
              </w:rPr>
              <w:t xml:space="preserve">Adjusted Market Value</w:t>
            </w:r>
          </w:p>
        </w:tc>
        <w:tc>
          <w:tcPr>
            <w:tcW w:w="1558" w:type="dxa"/>
            <w:tcBorders/>
            <w:shd w:fill="FFFFFF"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i/>
                <w:iCs/>
                <w:color w:val="6B6B6B"/>
                <w:sz w:val="18"/>
                <w:szCs w:val="18"/>
              </w:rPr>
              <w:t xml:space="preserve">adj_market_value_gap</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222222"/>
                <w:sz w:val="18"/>
                <w:szCs w:val="18"/>
              </w:rPr>
              <w:t xml:space="preserve">(Portfolio total Adj. Market Value × ownership %) − Partner's Adj. Market Value (total)</w:t>
            </w:r>
            <w:r>
              <w:rPr>
                <w:rFonts w:ascii="Calibri" w:eastAsia="Calibri" w:hAnsi="Calibri" w:cs="Calibri"/>
                <w:color w:val="222222"/>
                <w:sz w:val="18"/>
                <w:szCs w:val="18"/>
              </w:rPr>
              <w:t xml:space="preserve">. Positive means the partner received less adjusted property value than their proportional target and is owed cash; negative means the partner received more than target and pays cash.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58</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rFonts w:ascii="Calibri" w:hAnsi="Calibri" w:cs="Calibri"/>
                <w:b/>
                <w:bCs/>
                <w:color w:val="1A2540"/>
                <w:sz w:val="18"/>
                <w:szCs w:val="18"/>
              </w:rPr>
            </w:pPr>
            <w:r>
              <w:rPr>
                <w:rFonts w:ascii="Calibri" w:hAnsi="Calibri" w:cs="Calibri"/>
                <w:b/>
                <w:bCs/>
                <w:color w:val="1A2540"/>
                <w:sz w:val="18"/>
                <w:szCs w:val="18"/>
              </w:rPr>
              <w:t xml:space="preserve">Debt Service</w:t>
            </w:r>
          </w:p>
        </w:tc>
        <w:tc>
          <w:tcPr>
            <w:tcW w:w="1558" w:type="dxa"/>
            <w:tcBorders/>
            <w:shd w:fill="FFFFFF"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i/>
                <w:iCs/>
                <w:color w:val="6B6B6B"/>
                <w:sz w:val="18"/>
                <w:szCs w:val="18"/>
              </w:rPr>
              <w:t xml:space="preserve">debt_service_gap</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222222"/>
                <w:sz w:val="18"/>
                <w:szCs w:val="18"/>
              </w:rPr>
              <w:t xml:space="preserve">Partner's Annual Debt Service (total) − (portfolio total Annual Debt Service × ownership %)</w:t>
            </w:r>
            <w:r>
              <w:rPr>
                <w:rFonts w:ascii="Calibri" w:eastAsia="Calibri" w:hAnsi="Calibri" w:cs="Calibri"/>
                <w:color w:val="222222"/>
                <w:sz w:val="18"/>
                <w:szCs w:val="18"/>
              </w:rPr>
              <w:t xml:space="preserve">. Debt service is a burden, so the sign is intentionally reversed from value metrics. Positive means the partner carries more debt-service burden than their proportional target and is owed cash; negative means the partner carries less burden and pays cash.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59</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rFonts w:ascii="Calibri" w:hAnsi="Calibri" w:cs="Calibri"/>
                <w:b/>
                <w:bCs/>
                <w:color w:val="1A2540"/>
                <w:sz w:val="18"/>
                <w:szCs w:val="18"/>
              </w:rPr>
            </w:pPr>
            <w:r>
              <w:rPr>
                <w:rFonts w:ascii="Calibri" w:hAnsi="Calibri" w:cs="Calibri"/>
                <w:b/>
                <w:bCs/>
                <w:color w:val="1A2540"/>
                <w:sz w:val="18"/>
                <w:szCs w:val="18"/>
              </w:rPr>
              <w:t xml:space="preserve">Net Cash Flow</w:t>
            </w:r>
          </w:p>
        </w:tc>
        <w:tc>
          <w:tcPr>
            <w:tcW w:w="1558" w:type="dxa"/>
            <w:tcBorders/>
            <w:shd w:fill="FFFFFF" w:color="auto" w:val="clear"/>
            <w:vAlign w:val="top"/>
          </w:tcPr>
          <w:p>
            <w:pPr>
              <w:pBdr/>
              <w:pStyle w:val="Normal"/>
              <w:spacing/>
              <w:ind/>
              <w:jc w:val="center"/>
              <w:rPr>
                <w:rFonts w:ascii="Calibri" w:eastAsia="Calibri" w:hAnsi="Calibri" w:cs="Calibri"/>
                <w:b/>
                <w:bCs/>
                <w:color w:val="C8541A"/>
                <w:sz w:val="18"/>
                <w:szCs w:val="18"/>
              </w:rPr>
            </w:pPr>
            <w:r>
              <w:rPr>
                <w:rFonts w:ascii="Calibri" w:eastAsia="Calibri" w:hAnsi="Calibri" w:cs="Calibri"/>
                <w:i/>
                <w:iCs/>
                <w:color w:val="6B6B6B"/>
                <w:sz w:val="18"/>
                <w:szCs w:val="18"/>
              </w:rPr>
              <w:t xml:space="preserve">net_cash_flow_gap</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222222"/>
                <w:sz w:val="18"/>
                <w:szCs w:val="18"/>
              </w:rPr>
              <w:t xml:space="preserve">(Portfolio total Net Cash Flow / yr × ownership %) − Partner's Net Cash Flow / yr (total)</w:t>
            </w:r>
            <w:r>
              <w:rPr>
                <w:rFonts w:ascii="Calibri" w:eastAsia="Calibri" w:hAnsi="Calibri" w:cs="Calibri"/>
                <w:color w:val="222222"/>
                <w:sz w:val="18"/>
                <w:szCs w:val="18"/>
              </w:rPr>
              <w:t xml:space="preserve">. Positive means the partner receives less annual net cash flow than their proportional target and is owed cash; negative means the partner receives more than target and pays cash.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60</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1A2540"/>
                <w:sz w:val="18"/>
                <w:szCs w:val="18"/>
              </w:rPr>
              <w:t xml:space="preserve">Basis True-Up</w:t>
            </w:r>
          </w:p>
        </w:tc>
        <w:tc>
          <w:tcPr>
            <w:tcW w:w="1558" w:type="dxa"/>
            <w:tcBorders/>
            <w:shd w:fill="FFFFFF" w:color="auto" w:val="clear"/>
            <w:vAlign w:val="top"/>
          </w:tcPr>
          <w:p>
            <w:pPr>
              <w:pBdr/>
              <w:pStyle w:val="Normal"/>
              <w:spacing/>
              <w:ind/>
              <w:jc w:val="center"/>
              <w:rPr/>
            </w:pPr>
            <w:r>
              <w:rPr>
                <w:rFonts w:ascii="Calibri" w:eastAsia="Calibri" w:hAnsi="Calibri" w:cs="Calibri"/>
                <w:i/>
                <w:iCs/>
                <w:color w:val="6B6B6B"/>
                <w:sz w:val="18"/>
                <w:szCs w:val="18"/>
              </w:rPr>
              <w:t xml:space="preserve">basis_true_up</w:t>
            </w:r>
          </w:p>
        </w:tc>
        <w:tc>
          <w:tcPr>
            <w:tcW w:w="1213" w:type="dxa"/>
            <w:tcMar>
              <w:top w:w="60" w:type="dxa"/>
              <w:left w:w="100" w:type="dxa"/>
              <w:bottom w:w="60" w:type="dxa"/>
              <w:right w:w="100" w:type="dxa"/>
            </w:tcMar>
            <w:tcBorders/>
            <w:shd w:fill="FFFFFF"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FFFFF" w:color="auto" w:val="clear"/>
            <w:vAlign w:val="top"/>
          </w:tcPr>
          <w:p>
            <w:pPr>
              <w:pBdr/>
              <w:pStyle w:val="Normal"/>
              <w:spacing/>
              <w:ind/>
              <w:jc w:val="center"/>
              <w:rPr>
                <w:rFonts w:ascii="Calibri" w:eastAsia="Calibri" w:hAnsi="Calibri" w:cs="Calibri"/>
                <w:color w:val="222222"/>
                <w:sz w:val="18"/>
                <w:szCs w:val="18"/>
              </w:rPr>
            </w:pPr>
            <w:r>
              <w:rPr>
                <w:rFonts w:ascii="Calibri" w:eastAsia="Calibri" w:hAnsi="Calibri" w:cs="Calibri"/>
                <w:color w:val="222222"/>
                <w:sz w:val="18"/>
                <w:szCs w:val="18"/>
              </w:rPr>
              <w:t xml:space="preserve">N</w:t>
            </w: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r>
              <w:rPr>
                <w:rFonts w:ascii="Calibri" w:eastAsia="Calibri" w:hAnsi="Calibri" w:cs="Calibri"/>
                <w:b/>
                <w:bCs/>
                <w:color w:val="222222"/>
                <w:sz w:val="18"/>
                <w:szCs w:val="18"/>
              </w:rPr>
              <w:t xml:space="preserve">(Portfolio total Remaining Tax Basis × ownership %) − Partner's Remaining Tax Basis (total)</w:t>
            </w:r>
            <w:r>
              <w:rPr>
                <w:rFonts w:ascii="Calibri" w:eastAsia="Calibri" w:hAnsi="Calibri" w:cs="Calibri"/>
                <w:color w:val="222222"/>
                <w:sz w:val="18"/>
                <w:szCs w:val="18"/>
              </w:rPr>
              <w:t xml:space="preserve">. Positive means the partner received less remaining tax basis than their proportional share. The compensation amount is the present value of the lost future depreciation benefit, calculated from the depreciation schedule and not discounted a second time.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61</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rFonts w:ascii="Calibri" w:hAnsi="Calibri" w:cs="Calibri"/>
                <w:b/>
                <w:bCs/>
                <w:color w:val="1A2540"/>
                <w:sz w:val="18"/>
                <w:szCs w:val="18"/>
              </w:rPr>
            </w:pPr>
            <w:r>
              <w:rPr>
                <w:rFonts w:ascii="Calibri" w:hAnsi="Calibri" w:cs="Calibri"/>
                <w:b/>
                <w:bCs/>
                <w:color w:val="1A2540"/>
                <w:sz w:val="18"/>
                <w:szCs w:val="18"/>
              </w:rPr>
              <w:t xml:space="preserve">Bid Difference</w:t>
            </w:r>
          </w:p>
        </w:tc>
        <w:tc>
          <w:tcPr>
            <w:tcW w:w="1558" w:type="dxa"/>
            <w:tcBorders/>
            <w:shd w:fill="F2F2F0" w:color="auto" w:val="clear"/>
            <w:vAlign w:val="top"/>
          </w:tcPr>
          <w:p>
            <w:pPr>
              <w:pBdr/>
              <w:pStyle w:val="Normal"/>
              <w:spacing/>
              <w:ind/>
              <w:jc w:val="center"/>
              <w:rPr/>
            </w:pPr>
            <w:r>
              <w:rPr>
                <w:rFonts w:ascii="Calibri" w:eastAsia="Calibri" w:hAnsi="Calibri" w:cs="Calibri"/>
                <w:i/>
                <w:iCs/>
                <w:color w:val="6B6B6B"/>
                <w:sz w:val="18"/>
                <w:szCs w:val="18"/>
              </w:rPr>
              <w:t xml:space="preserve">bid_difference_gap</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2F2F0" w:color="auto" w:val="clear"/>
            <w:vAlign w:val="top"/>
          </w:tcPr>
          <w:p>
            <w:pPr>
              <w:pBdr/>
              <w:pStyle w:val="Normal"/>
              <w:spacing/>
              <w:ind/>
              <w:jc w:val="center"/>
              <w:rPr/>
            </w:pPr>
            <w:r>
              <w:rPr/>
              <w:t xml:space="preserve">N</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222222"/>
                <w:sz w:val="18"/>
                <w:szCs w:val="18"/>
              </w:rPr>
              <w:t xml:space="preserve">(Portfolio total Bid Difference × ownership %) − Partner's Bid Difference (total)</w:t>
            </w:r>
            <w:r>
              <w:rPr>
                <w:rFonts w:ascii="Calibri" w:eastAsia="Calibri" w:hAnsi="Calibri" w:cs="Calibri"/>
                <w:color w:val="222222"/>
                <w:sz w:val="18"/>
                <w:szCs w:val="18"/>
              </w:rPr>
              <w:t xml:space="preserve">. Positive means the partner received less than their proportional share of the total Bid Difference adjustment and is owed cash; negative means the partner received more than their proportional share and pays cash through the shared settlement pot.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2F2F0"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62</w:t>
            </w:r>
          </w:p>
        </w:tc>
        <w:tc>
          <w:tcPr>
            <w:tcW w:w="2561" w:type="dxa"/>
            <w:tcMar>
              <w:top w:w="60" w:type="dxa"/>
              <w:left w:w="100" w:type="dxa"/>
              <w:bottom w:w="60" w:type="dxa"/>
              <w:right w:w="100" w:type="dxa"/>
            </w:tcMar>
            <w:tcBorders/>
            <w:shd w:fill="F2F2F0" w:color="auto" w:val="clear"/>
            <w:vAlign w:val="top"/>
            <w:gridSpan w:val="2"/>
          </w:tcPr>
          <w:p>
            <w:pPr>
              <w:pBdr/>
              <w:pStyle w:val="Normal"/>
              <w:spacing/>
              <w:ind/>
              <w:rPr>
                <w:rFonts w:ascii="Calibri" w:hAnsi="Calibri" w:cs="Calibri"/>
                <w:b/>
                <w:bCs/>
                <w:color w:val="1A2540"/>
                <w:sz w:val="18"/>
                <w:szCs w:val="18"/>
              </w:rPr>
            </w:pPr>
            <w:r>
              <w:rPr>
                <w:rFonts w:ascii="Calibri" w:hAnsi="Calibri" w:cs="Calibri"/>
                <w:b/>
                <w:bCs/>
                <w:color w:val="1A2540"/>
                <w:sz w:val="18"/>
                <w:szCs w:val="18"/>
              </w:rPr>
              <w:t xml:space="preserve">Cash Equivalents</w:t>
            </w:r>
          </w:p>
        </w:tc>
        <w:tc>
          <w:tcPr>
            <w:tcW w:w="1558" w:type="dxa"/>
            <w:tcBorders/>
            <w:shd w:fill="F2F2F0" w:color="auto" w:val="clear"/>
            <w:vAlign w:val="top"/>
          </w:tcPr>
          <w:p>
            <w:pPr>
              <w:pBdr/>
              <w:pStyle w:val="Normal"/>
              <w:spacing/>
              <w:ind/>
              <w:jc w:val="center"/>
              <w:rPr/>
            </w:pPr>
            <w:r>
              <w:rPr>
                <w:rFonts w:ascii="Calibri" w:eastAsia="Calibri" w:hAnsi="Calibri" w:cs="Calibri"/>
                <w:i/>
                <w:iCs/>
                <w:color w:val="6B6B6B"/>
                <w:sz w:val="18"/>
                <w:szCs w:val="18"/>
              </w:rPr>
              <w:t xml:space="preserve">cash_equivalents_gap</w:t>
            </w:r>
          </w:p>
        </w:tc>
        <w:tc>
          <w:tcPr>
            <w:tcW w:w="1213" w:type="dxa"/>
            <w:tcMar>
              <w:top w:w="60" w:type="dxa"/>
              <w:left w:w="100" w:type="dxa"/>
              <w:bottom w:w="60" w:type="dxa"/>
              <w:right w:w="100" w:type="dxa"/>
            </w:tcMar>
            <w:tcBorders/>
            <w:shd w:fill="F2F2F0" w:color="auto" w:val="clear"/>
            <w:vAlign w:val="top"/>
          </w:tcPr>
          <w:p>
            <w:pPr>
              <w:pBdr/>
              <w:pStyle w:val="Normal"/>
              <w:spacing/>
              <w:ind/>
              <w:rPr/>
            </w:pPr>
            <w:r>
              <w:rPr>
                <w:rFonts w:ascii="Calibri" w:eastAsia="Calibri" w:hAnsi="Calibri" w:cs="Calibri"/>
                <w:color w:val="444444"/>
                <w:sz w:val="18"/>
                <w:szCs w:val="18"/>
              </w:rPr>
              <w:t xml:space="preserve">Calculated</w:t>
            </w:r>
          </w:p>
        </w:tc>
        <w:tc>
          <w:tcPr>
            <w:tcW w:w="898" w:type="dxa"/>
            <w:tcBorders/>
            <w:shd w:fill="F2F2F0" w:color="auto" w:val="clear"/>
            <w:vAlign w:val="top"/>
          </w:tcPr>
          <w:p>
            <w:pPr>
              <w:pBdr/>
              <w:pStyle w:val="Normal"/>
              <w:spacing/>
              <w:ind/>
              <w:jc w:val="center"/>
              <w:rPr/>
            </w:pPr>
            <w:r>
              <w:rPr/>
              <w:t xml:space="preserve">N</w:t>
            </w:r>
          </w:p>
        </w:tc>
        <w:tc>
          <w:tcPr>
            <w:tcW w:w="7142" w:type="dxa"/>
            <w:tcMar>
              <w:top w:w="60" w:type="dxa"/>
              <w:left w:w="100" w:type="dxa"/>
              <w:bottom w:w="60" w:type="dxa"/>
              <w:right w:w="100" w:type="dxa"/>
            </w:tcMar>
            <w:tcBorders/>
            <w:shd w:fill="F2F2F0" w:color="auto" w:val="clear"/>
            <w:vAlign w:val="top"/>
            <w:gridSpan w:val="2"/>
          </w:tcPr>
          <w:p>
            <w:pPr>
              <w:pBdr/>
              <w:pStyle w:val="Normal"/>
              <w:spacing/>
              <w:ind/>
              <w:rPr/>
            </w:pPr>
            <w:r>
              <w:rPr>
                <w:rFonts w:ascii="Calibri" w:eastAsia="Calibri" w:hAnsi="Calibri" w:cs="Calibri"/>
                <w:b/>
                <w:bCs/>
                <w:color w:val="222222"/>
                <w:sz w:val="18"/>
                <w:szCs w:val="18"/>
              </w:rPr>
              <w:t xml:space="preserve">(Portfolio total Cash Equivalents × ownership %) − Partner's Cash Equivalents allocated</w:t>
            </w:r>
            <w:r>
              <w:rPr>
                <w:rFonts w:ascii="Calibri" w:eastAsia="Calibri" w:hAnsi="Calibri" w:cs="Calibri"/>
                <w:color w:val="222222"/>
                <w:sz w:val="18"/>
                <w:szCs w:val="18"/>
              </w:rPr>
              <w:t xml:space="preserve">. Positive means the partner received less cash or cash-equivalent value than their proportional share and is owed cash; negative means the partner received more than their proportional share and pays or offsets through the final settlement.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PrEx>
        <w:trPr>
          <w:trHeight w:hRule="atLeast" w:val="20"/>
        </w:trPr>
        <w:tc>
          <w:tcPr>
            <w:tcW w:w="658" w:type="dxa"/>
            <w:tcBorders/>
            <w:shd w:fill="FFFFFF" w:color="auto" w:val="clear"/>
            <w:vAlign w:val="top"/>
          </w:tcPr>
          <w:p>
            <w:pPr>
              <w:pBdr/>
              <w:pStyle w:val="Normal"/>
              <w:spacing/>
              <w:ind/>
              <w:jc w:val="center"/>
              <w:rPr>
                <w:rFonts w:ascii="Calibri" w:eastAsia="Calibri" w:hAnsi="Calibri" w:cs="Calibri"/>
                <w:b/>
                <w:bCs/>
                <w:color w:val="1A2540"/>
                <w:sz w:val="18"/>
                <w:szCs w:val="18"/>
              </w:rPr>
            </w:pPr>
            <w:r>
              <w:rPr>
                <w:rFonts w:ascii="Calibri" w:eastAsia="Calibri" w:hAnsi="Calibri" w:cs="Calibri"/>
                <w:b/>
                <w:bCs/>
                <w:color w:val="1A2540"/>
                <w:sz w:val="18"/>
                <w:szCs w:val="18"/>
              </w:rPr>
              <w:t xml:space="preserve">63</w:t>
            </w:r>
          </w:p>
        </w:tc>
        <w:tc>
          <w:tcPr>
            <w:tcW w:w="2561" w:type="dxa"/>
            <w:tcMar>
              <w:top w:w="60" w:type="dxa"/>
              <w:left w:w="100" w:type="dxa"/>
              <w:bottom w:w="60" w:type="dxa"/>
              <w:right w:w="100" w:type="dxa"/>
            </w:tcMar>
            <w:tcBorders/>
            <w:shd w:fill="FFFFFF" w:color="auto" w:val="clear"/>
            <w:vAlign w:val="top"/>
            <w:gridSpan w:val="2"/>
          </w:tcPr>
          <w:p>
            <w:pPr>
              <w:pBdr/>
              <w:pStyle w:val="Normal"/>
              <w:spacing/>
              <w:ind/>
              <w:rPr/>
            </w:pPr>
          </w:p>
        </w:tc>
        <w:tc>
          <w:tcPr>
            <w:tcW w:w="1558" w:type="dxa"/>
            <w:tcBorders/>
            <w:shd w:fill="FFFFFF" w:color="auto" w:val="clear"/>
            <w:vAlign w:val="top"/>
          </w:tcPr>
          <w:p>
            <w:pPr>
              <w:pBdr/>
              <w:pStyle w:val="Normal"/>
              <w:spacing/>
              <w:ind/>
              <w:jc w:val="center"/>
              <w:rPr/>
            </w:pPr>
          </w:p>
        </w:tc>
        <w:tc>
          <w:tcPr>
            <w:tcW w:w="1213" w:type="dxa"/>
            <w:tcMar>
              <w:top w:w="60" w:type="dxa"/>
              <w:left w:w="100" w:type="dxa"/>
              <w:bottom w:w="60" w:type="dxa"/>
              <w:right w:w="100" w:type="dxa"/>
            </w:tcMar>
            <w:tcBorders/>
            <w:shd w:fill="FFFFFF" w:color="auto" w:val="clear"/>
            <w:vAlign w:val="top"/>
          </w:tcPr>
          <w:p>
            <w:pPr>
              <w:pBdr/>
              <w:pStyle w:val="Normal"/>
              <w:spacing/>
              <w:ind/>
              <w:rPr/>
            </w:pPr>
          </w:p>
        </w:tc>
        <w:tc>
          <w:tcPr>
            <w:tcW w:w="898" w:type="dxa"/>
            <w:tcBorders/>
            <w:shd w:fill="FFFFFF" w:color="auto" w:val="clear"/>
            <w:vAlign w:val="top"/>
          </w:tcPr>
          <w:p>
            <w:pPr>
              <w:pBdr/>
              <w:pStyle w:val="Normal"/>
              <w:spacing/>
              <w:ind/>
              <w:jc w:val="center"/>
              <w:rPr/>
            </w:pPr>
          </w:p>
        </w:tc>
        <w:tc>
          <w:tcPr>
            <w:tcW w:w="7142" w:type="dxa"/>
            <w:tcMar>
              <w:top w:w="60" w:type="dxa"/>
              <w:left w:w="100" w:type="dxa"/>
              <w:bottom w:w="60" w:type="dxa"/>
              <w:right w:w="100" w:type="dxa"/>
            </w:tcMar>
            <w:tcBorders/>
            <w:shd w:fill="FFFFFF" w:color="auto" w:val="clear"/>
            <w:vAlign w:val="top"/>
            <w:gridSpan w:val="2"/>
          </w:tcPr>
          <w:p>
            <w:pPr>
              <w:pBdr/>
              <w:pStyle w:val="Normal"/>
              <w:spacing/>
              <w:ind/>
              <w:rPr/>
            </w:pPr>
          </w:p>
        </w:tc>
      </w:tr>
    </w:tbl>
    <w:p>
      <w:pPr>
        <w:pBdr/>
        <w:pStyle w:val="Normal"/>
        <w:spacing/>
        <w:ind/>
        <w:rPr/>
      </w:pPr>
    </w:p>
    <w:sectPr>
      <w:type w:val="nextPage"/>
      <w:pgSz w:w="15840" w:h="12240"/>
      <w:pgMar w:top="720" w:right="900" w:bottom="720" w:left="90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eastAsia="ko-KR"/>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paragraph" w:styleId="Heading 1">
    <w:name w:val="Heading 1"/>
    <w:next w:val="Heading 1"/>
    <w:link w:val="Heading 1 Char"/>
    <w:pPr>
      <w:pBdr/>
      <w:outlineLvl w:val="0"/>
      <w:spacing/>
      <w:ind/>
    </w:pPr>
    <w:rPr>
      <w:color w:val="2E74B5"/>
      <w:sz w:val="32"/>
      <w:szCs w:val="32"/>
    </w:rPr>
  </w:style>
  <w:style w:type="character" w:styleId="Heading 1 Char">
    <w:name w:val="Heading 1 Char"/>
    <w:basedOn w:val="Default Paragraph Font"/>
    <w:rPr>
      <w:color w:val="2E74B5"/>
      <w:sz w:val="32"/>
      <w:szCs w:val="32"/>
    </w:rPr>
  </w:style>
  <w:style w:type="character" w:styleId="Default Paragraph Font">
    <w:name w:val="Default Paragraph Font"/>
    <w:rPr/>
  </w:style>
  <w:style w:type="paragraph" w:styleId="Heading 2">
    <w:name w:val="Heading 2"/>
    <w:next w:val="Heading 2"/>
    <w:pPr>
      <w:pBdr/>
      <w:outlineLvl w:val="1"/>
      <w:spacing/>
      <w:ind/>
    </w:pPr>
    <w:rPr>
      <w:color w:val="2E74B5"/>
      <w:sz w:val="26"/>
      <w:szCs w:val="26"/>
    </w:rPr>
  </w:style>
  <w:style w:type="paragraph" w:styleId="Heading 3">
    <w:name w:val="Heading 3"/>
    <w:next w:val="Heading 3"/>
    <w:pPr>
      <w:pBdr/>
      <w:outlineLvl w:val="2"/>
      <w:spacing/>
      <w:ind/>
    </w:pPr>
    <w:rPr>
      <w:color w:val="1F4D78"/>
      <w:sz w:val="24"/>
      <w:szCs w:val="24"/>
    </w:rPr>
  </w:style>
  <w:style w:type="paragraph" w:styleId="Heading 4">
    <w:name w:val="Heading 4"/>
    <w:next w:val="Heading 4"/>
    <w:pPr>
      <w:pBdr/>
      <w:outlineLvl w:val="3"/>
      <w:spacing/>
      <w:ind/>
    </w:pPr>
    <w:rPr>
      <w:i/>
      <w:iCs/>
      <w:color w:val="2E74B5"/>
    </w:rPr>
  </w:style>
  <w:style w:type="paragraph" w:styleId="Heading 5">
    <w:name w:val="Heading 5"/>
    <w:next w:val="Heading 5"/>
    <w:pPr>
      <w:pBdr/>
      <w:outlineLvl w:val="4"/>
      <w:spacing/>
      <w:ind/>
    </w:pPr>
    <w:rPr>
      <w:color w:val="2E74B5"/>
    </w:rPr>
  </w:style>
  <w:style w:type="paragraph" w:styleId="Heading 6">
    <w:name w:val="Heading 6"/>
    <w:next w:val="Heading 6"/>
    <w:pPr>
      <w:pBdr/>
      <w:outlineLvl w:val="5"/>
      <w:spacing/>
      <w:ind/>
    </w:pPr>
    <w:rPr>
      <w:color w:val="1F4D78"/>
    </w:rPr>
  </w:style>
  <w:style w:type="paragraph" w:styleId="Heading 7">
    <w:name w:val="Heading 7"/>
    <w:basedOn w:val="Normal"/>
    <w:next w:val="Normal"/>
    <w:link w:val="Heading 7 Char"/>
    <w:pPr>
      <w:pBdr/>
      <w:keepNext/>
      <w:keepLines/>
      <w:outlineLvl w:val="6"/>
      <w:spacing w:before="40"/>
      <w:ind/>
    </w:pPr>
    <w:rPr>
      <w:rFonts w:asciiTheme="majorHAnsi" w:eastAsiaTheme="majorEastAsia" w:hAnsiTheme="majorHAnsi" w:cstheme="majorBidi"/>
      <w:i/>
      <w:iCs/>
      <w:color w:val="1F3763"/>
    </w:rPr>
  </w:style>
  <w:style w:type="character" w:styleId="Heading 7 Char">
    <w:name w:val="Heading 7 Char"/>
    <w:basedOn w:val="Default Paragraph Font"/>
    <w:rPr>
      <w:rFonts w:asciiTheme="majorHAnsi" w:eastAsiaTheme="majorEastAsia" w:hAnsiTheme="majorHAnsi" w:cstheme="majorBidi"/>
      <w:i/>
      <w:iCs/>
      <w:color w:val="1F3763"/>
    </w:rPr>
  </w:style>
  <w:style w:type="paragraph" w:styleId="Heading 8">
    <w:name w:val="Heading 8"/>
    <w:basedOn w:val="Normal"/>
    <w:next w:val="Normal"/>
    <w:link w:val="Heading 8 Char"/>
    <w:pPr>
      <w:pBdr/>
      <w:keepNext/>
      <w:keepLines/>
      <w:outlineLvl w:val="7"/>
      <w:spacing w:before="40"/>
      <w:ind/>
    </w:pPr>
    <w:rPr>
      <w:rFonts w:asciiTheme="majorHAnsi" w:eastAsiaTheme="majorEastAsia" w:hAnsiTheme="majorHAnsi" w:cstheme="majorBidi"/>
      <w:color w:val="272727"/>
      <w:sz w:val="21"/>
      <w:szCs w:val="21"/>
    </w:rPr>
  </w:style>
  <w:style w:type="character" w:styleId="Heading 8 Char">
    <w:name w:val="Heading 8 Char"/>
    <w:basedOn w:val="Default Paragraph Font"/>
    <w:rPr>
      <w:rFonts w:asciiTheme="majorHAnsi" w:eastAsiaTheme="majorEastAsia" w:hAnsiTheme="majorHAnsi" w:cstheme="majorBidi"/>
      <w:color w:val="272727"/>
      <w:sz w:val="21"/>
      <w:szCs w:val="21"/>
    </w:rPr>
  </w:style>
  <w:style w:type="paragraph" w:styleId="Heading 9">
    <w:name w:val="Heading 9"/>
    <w:basedOn w:val="Normal"/>
    <w:next w:val="Normal"/>
    <w:link w:val="Heading 9 Char"/>
    <w:pPr>
      <w:pBdr/>
      <w:keepNext/>
      <w:keepLines/>
      <w:outlineLvl w:val="8"/>
      <w:spacing w:before="40"/>
      <w:ind/>
    </w:pPr>
    <w:rPr>
      <w:rFonts w:asciiTheme="majorHAnsi" w:eastAsiaTheme="majorEastAsia" w:hAnsiTheme="majorHAnsi" w:cstheme="majorBidi"/>
      <w:i/>
      <w:iCs/>
      <w:color w:val="272727"/>
      <w:sz w:val="21"/>
      <w:szCs w:val="21"/>
    </w:rPr>
  </w:style>
  <w:style w:type="character" w:styleId="Heading 9 Char">
    <w:name w:val="Heading 9 Char"/>
    <w:basedOn w:val="Default Paragraph Font"/>
    <w:rPr>
      <w:rFonts w:asciiTheme="majorHAnsi" w:eastAsiaTheme="majorEastAsia" w:hAnsiTheme="majorHAnsi" w:cstheme="majorBidi"/>
      <w:i/>
      <w:iCs/>
      <w:color w:val="272727"/>
      <w:sz w:val="21"/>
      <w:szCs w:val="21"/>
    </w:rPr>
  </w:style>
  <w:style w:type="table" w:styleId="Normal Table">
    <w:name w:val="Normal Table"/>
    <w:next w:val="Normal Table"/>
  </w:style>
  <w:style w:type="paragraph" w:styleId="Title">
    <w:name w:val="Title"/>
    <w:next w:val="Title"/>
    <w:pPr>
      <w:pBdr/>
      <w:spacing/>
      <w:ind/>
    </w:pPr>
    <w:rPr>
      <w:sz w:val="56"/>
      <w:szCs w:val="56"/>
    </w:rPr>
  </w:style>
  <w:style w:type="paragraph" w:styleId="Strong1">
    <w:name w:val="Strong1"/>
    <w:next w:val="Strong1"/>
    <w:pPr>
      <w:pBdr/>
      <w:spacing/>
      <w:ind/>
    </w:pPr>
    <w:rPr>
      <w:b/>
      <w:bCs/>
    </w:rPr>
  </w:style>
  <w:style w:type="paragraph" w:styleId="List Paragraph">
    <w:name w:val="List Paragraph"/>
    <w:next w:val="List Paragraph"/>
    <w:pPr>
      <w:pBdr/>
      <w:spacing/>
      <w:ind/>
    </w:pPr>
    <w:rPr/>
  </w:style>
  <w:style w:type="character" w:styleId="Hyperlink">
    <w:name w:val="Hyperlink"/>
    <w:basedOn w:val="Default Paragraph Font"/>
    <w:rPr>
      <w:color w:val="0563C1"/>
      <w:u w:val="single"/>
    </w:rPr>
  </w:style>
  <w:style w:type="character" w:styleId="Footnote Reference">
    <w:name w:val="Footnote Reference"/>
    <w:basedOn w:val="Default Paragraph Font"/>
    <w:rPr>
      <w:vertAlign w:val="superscript"/>
    </w:rPr>
  </w:style>
  <w:style w:type="paragraph" w:styleId="Footnote Text">
    <w:name w:val="Footnote Text"/>
    <w:next w:val="Footnote Text"/>
    <w:link w:val="Footnote Text Char"/>
    <w:pPr>
      <w:pBdr/>
      <w:spacing/>
      <w:ind/>
    </w:pPr>
    <w:rPr/>
  </w:style>
  <w:style w:type="character" w:styleId="Footnote Text Char">
    <w:name w:val="Footnote Text Char"/>
    <w:basedOn w:val="Default Paragraph Font"/>
    <w:rPr/>
  </w:style>
  <w:style w:type="character" w:styleId="Endnote Reference">
    <w:name w:val="Endnote Reference"/>
    <w:basedOn w:val="Default Paragraph Font"/>
    <w:rPr>
      <w:vertAlign w:val="superscript"/>
    </w:rPr>
  </w:style>
  <w:style w:type="paragraph" w:styleId="Endnote Text">
    <w:name w:val="Endnote Text"/>
    <w:next w:val="Endnote Text"/>
    <w:link w:val="Endnote Text Char"/>
    <w:pPr>
      <w:pBdr/>
      <w:spacing/>
      <w:ind/>
    </w:pPr>
    <w:rPr/>
  </w:style>
  <w:style w:type="character" w:styleId="Endnote Text Char">
    <w:name w:val="Endnote Text Char"/>
    <w:basedOn w:val="Default Paragraph Font"/>
    <w:rPr/>
  </w:style>
  <w:style w:type="character" w:styleId="Book Title">
    <w:name w:val="Book Title"/>
    <w:basedOn w:val="Default Paragraph Font"/>
    <w:rPr>
      <w:b/>
      <w:bCs/>
      <w:i/>
      <w:iCs/>
      <w:spacing w:val="5"/>
    </w:rPr>
  </w:style>
  <w:style w:type="paragraph" w:styleId="Caption">
    <w:name w:val="Caption"/>
    <w:basedOn w:val="Normal"/>
    <w:next w:val="Normal"/>
    <w:pPr>
      <w:pBdr/>
      <w:spacing w:after="200"/>
      <w:ind/>
    </w:pPr>
    <w:rPr>
      <w:i/>
      <w:iCs/>
      <w:color w:val="44546A"/>
      <w:sz w:val="18"/>
      <w:szCs w:val="18"/>
    </w:rPr>
  </w:style>
  <w:style w:type="character" w:styleId="Emphasis">
    <w:name w:val="Emphasis"/>
    <w:basedOn w:val="Default Paragraph Font"/>
    <w:rPr>
      <w:i/>
      <w:iCs/>
    </w:rPr>
  </w:style>
  <w:style w:type="character" w:styleId="Intense Emphasis">
    <w:name w:val="Intense Emphasis"/>
    <w:basedOn w:val="Default Paragraph Font"/>
    <w:rPr>
      <w:i/>
      <w:iCs/>
      <w:color w:val="4472C4"/>
    </w:rPr>
  </w:style>
  <w:style w:type="paragraph" w:styleId="Intense Quote">
    <w:name w:val="Intense Quote"/>
    <w:basedOn w:val="Normal"/>
    <w:next w:val="Normal"/>
    <w:link w:val="Intense Quote Char"/>
    <w:pPr>
      <w:pBdr>
        <w:top w:val="single" w:color="4472C4" w:sz="4" w:space="10"/>
        <w:bottom w:val="single" w:color="4472C4" w:sz="4" w:space="10"/>
      </w:pBdr>
      <w:spacing w:before="360" w:after="360"/>
      <w:ind w:left="864" w:right="864"/>
      <w:jc w:val="center"/>
    </w:pPr>
    <w:rPr>
      <w:i/>
      <w:iCs/>
      <w:color w:val="4472C4"/>
    </w:rPr>
  </w:style>
  <w:style w:type="character" w:styleId="Intense Quote Char">
    <w:name w:val="Intense Quote Char"/>
    <w:basedOn w:val="Default Paragraph Font"/>
    <w:rPr>
      <w:i/>
      <w:iCs/>
      <w:color w:val="4472C4"/>
    </w:rPr>
  </w:style>
  <w:style w:type="character" w:styleId="Intense Reference">
    <w:name w:val="Intense Reference"/>
    <w:basedOn w:val="Default Paragraph Font"/>
    <w:rPr>
      <w:b/>
      <w:bCs/>
      <w:color w:val="4472C4"/>
      <w:spacing w:val="5"/>
    </w:rPr>
  </w:style>
  <w:style w:type="paragraph" w:styleId="No Spacing">
    <w:name w:val="No Spacing"/>
    <w:next w:val="No Spacing"/>
    <w:pPr>
      <w:pBdr/>
      <w:spacing/>
      <w:ind/>
    </w:pPr>
    <w:rPr/>
  </w:style>
  <w:style w:type="paragraph" w:styleId="Quote">
    <w:name w:val="Quote"/>
    <w:basedOn w:val="Normal"/>
    <w:next w:val="Normal"/>
    <w:link w:val="Quote Char"/>
    <w:pPr>
      <w:pBdr/>
      <w:spacing w:before="200" w:after="160"/>
      <w:ind w:left="864" w:right="864"/>
      <w:jc w:val="center"/>
    </w:pPr>
    <w:rPr>
      <w:i/>
      <w:iCs/>
      <w:color w:val="404040"/>
    </w:rPr>
  </w:style>
  <w:style w:type="character" w:styleId="Quote Char">
    <w:name w:val="Quote Char"/>
    <w:basedOn w:val="Default Paragraph Font"/>
    <w:rPr>
      <w:i/>
      <w:iCs/>
      <w:color w:val="404040"/>
    </w:rPr>
  </w:style>
  <w:style w:type="character" w:styleId="Strong">
    <w:name w:val="Strong"/>
    <w:basedOn w:val="Default Paragraph Font"/>
    <w:rPr>
      <w:b/>
      <w:bCs/>
    </w:rPr>
  </w:style>
  <w:style w:type="paragraph" w:styleId="Subtitle">
    <w:name w:val="Subtitle"/>
    <w:basedOn w:val="Normal"/>
    <w:next w:val="Normal"/>
    <w:link w:val="Subtitle Char"/>
    <w:pPr>
      <w:pBdr/>
      <w:numPr>
        <w:ilvl w:val="1"/>
      </w:numPr>
      <w:spacing w:after="160"/>
      <w:ind/>
    </w:pPr>
    <w:rPr>
      <w:rFonts w:asciiTheme="minorHAnsi" w:eastAsiaTheme="minorEastAsia" w:hAnsiTheme="minorHAnsi" w:cstheme="minorBidi"/>
      <w:color w:val="5A5A5A"/>
      <w:sz w:val="22"/>
      <w:spacing w:val="15"/>
      <w:szCs w:val="22"/>
    </w:rPr>
  </w:style>
  <w:style w:type="character" w:styleId="Subtitle Char">
    <w:name w:val="Subtitle Char"/>
    <w:basedOn w:val="Default Paragraph Font"/>
    <w:rPr>
      <w:rFonts w:asciiTheme="minorHAnsi" w:eastAsiaTheme="minorEastAsia" w:hAnsiTheme="minorHAnsi" w:cstheme="minorBidi"/>
      <w:color w:val="5A5A5A"/>
      <w:sz w:val="22"/>
      <w:spacing w:val="15"/>
      <w:szCs w:val="22"/>
    </w:rPr>
  </w:style>
  <w:style w:type="character" w:styleId="Subtle Emphasis">
    <w:name w:val="Subtle Emphasis"/>
    <w:basedOn w:val="Default Paragraph Font"/>
    <w:rPr>
      <w:i/>
      <w:iCs/>
      <w:color w:val="404040"/>
    </w:rPr>
  </w:style>
  <w:style w:type="character" w:styleId="Subtle Reference">
    <w:name w:val="Subtle Reference"/>
    <w:basedOn w:val="Default Paragraph Font"/>
    <w:rPr>
      <w:color w:val="5A5A5A"/>
    </w:rPr>
  </w:style>
  <w:style w:type="paragraph" w:styleId="TOC Heading">
    <w:name w:val="TOC Heading"/>
    <w:basedOn w:val="Heading 1"/>
    <w:next w:val="Normal"/>
    <w:pPr>
      <w:pBdr/>
      <w:keepNext/>
      <w:keepLines/>
      <w:outlineLvl w:val="9"/>
      <w:spacing w:before="240"/>
      <w:ind/>
    </w:pPr>
    <w:rPr>
      <w:rFonts w:asciiTheme="majorHAnsi" w:eastAsiaTheme="majorEastAsia" w:hAnsiTheme="majorHAnsi" w:cstheme="majorBidi"/>
      <w:color w:val="2F5496"/>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