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850827af2144a60ac3ecc922b99806c014e372"/>
    <w:p>
      <w:pPr>
        <w:pStyle w:val="Heading1"/>
      </w:pPr>
      <w:r>
        <w:t xml:space="preserve">Dividing a Jointly-Owned Real Estate Portfolio</w:t>
      </w:r>
    </w:p>
    <w:p>
      <w:pPr>
        <w:pStyle w:val="FirstParagraph"/>
      </w:pPr>
      <w:r>
        <w:rPr>
          <w:b/>
          <w:bCs/>
        </w:rPr>
        <w:t xml:space="preserve">A Framework for Equitable Separation Between Unequal Partners</w:t>
      </w:r>
    </w:p>
    <w:p>
      <w:pPr>
        <w:pStyle w:val="BodyText"/>
      </w:pPr>
      <w:r>
        <w:rPr>
          <w:i/>
          <w:iCs/>
        </w:rPr>
        <w:t xml:space="preserve">Indivisible Assets · Asymmetric Debt · A 60 / 40 Ownership Split</w:t>
      </w:r>
    </w:p>
    <w:p>
      <w:pPr>
        <w:pStyle w:val="BodyText"/>
      </w:pPr>
      <w:r>
        <w:t xml:space="preserve">Prepared as a decision-support document · Version 6.10 · September 2026</w:t>
      </w:r>
    </w:p>
    <w:p>
      <w:pPr>
        <w:pStyle w:val="BlockText"/>
      </w:pPr>
      <w:r>
        <w:t xml:space="preserve">Markdown extraction of</w:t>
      </w:r>
      <w:r>
        <w:t xml:space="preserve"> </w:t>
      </w:r>
      <w:r>
        <w:rPr>
          <w:rStyle w:val="VerbatimChar"/>
        </w:rPr>
        <w:t xml:space="preserve">01 Portfolio Separation White Paper v6.10 (9-2026).docx</w:t>
      </w:r>
      <w:r>
        <w:t xml:space="preserve"> </w:t>
      </w:r>
      <w:r>
        <w:t xml:space="preserve">for search and diffing. The .docx is the authoritative version.</w:t>
      </w:r>
    </w:p>
    <w:bookmarkEnd w:id="9"/>
    <w:bookmarkStart w:id="10" w:name="X102b2e9de4183984340b81b0bb402a984d3925a"/>
    <w:p>
      <w:pPr>
        <w:pStyle w:val="Heading1"/>
      </w:pPr>
      <w:r>
        <w:t xml:space="preserve">1. Executive Summary</w:t>
      </w:r>
    </w:p>
    <w:p>
      <w:pPr>
        <w:pStyle w:val="FirstParagraph"/>
      </w:pPr>
      <w:r>
        <w:t xml:space="preserve">Two partners own a real estate portfolio in a 60/40 ratio and want to end their co-ownership so each partner owns separate properties. The properties cannot be split into pieces. Some have loans, some have no loans, and the loans have different interest rates. The properties were also bought at different times, so they have different remaining tax basis and different future depreciation deductions. The goal is to divide the portfolio fairly, based on each partner’s ownership share, and use cash to fix any remaining difference.</w:t>
      </w:r>
    </w:p>
    <w:p>
      <w:pPr>
        <w:pStyle w:val="BodyText"/>
      </w:pPr>
      <w:r>
        <w:t xml:space="preserve">The values are approximations used to compare the different separation methods. During preparation of this document, most of the $5M previously held in securities and treasuries was used to purchase one property and committed toward the purchase of another.</w:t>
      </w:r>
    </w:p>
    <w:p>
      <w:pPr>
        <w:pStyle w:val="BodyText"/>
      </w:pPr>
      <w:r>
        <w:t xml:space="preserve">This paper sets out five named methods, used by name throughout. Two are preference-based drafts that need no dollar bids; two are bid-based mechanisms that price how much each partner wants an asset; and one targets proportional balance across several dimensions at once:</w:t>
      </w:r>
    </w:p>
    <w:p>
      <w:pPr>
        <w:pStyle w:val="Compact"/>
        <w:numPr>
          <w:ilvl w:val="0"/>
          <w:numId w:val="1001"/>
        </w:numPr>
      </w:pPr>
      <w:r>
        <w:t xml:space="preserve">The Preference-List Draft — agreed values, ranked lists, coin flip on a tie.</w:t>
      </w:r>
    </w:p>
    <w:p>
      <w:pPr>
        <w:pStyle w:val="Compact"/>
        <w:numPr>
          <w:ilvl w:val="0"/>
          <w:numId w:val="1001"/>
        </w:numPr>
      </w:pPr>
      <w:r>
        <w:t xml:space="preserve">The Balanced Alternation Draft — coin flip to start, then picks in compensating pairs.</w:t>
      </w:r>
    </w:p>
    <w:p>
      <w:pPr>
        <w:pStyle w:val="Compact"/>
        <w:numPr>
          <w:ilvl w:val="0"/>
          <w:numId w:val="1001"/>
        </w:numPr>
      </w:pPr>
      <w:r>
        <w:t xml:space="preserve">The Right-of-First-Refusal Method — a partner names a price, the other may take it at that price.</w:t>
      </w:r>
    </w:p>
    <w:p>
      <w:pPr>
        <w:pStyle w:val="Compact"/>
        <w:numPr>
          <w:ilvl w:val="0"/>
          <w:numId w:val="1001"/>
        </w:numPr>
      </w:pPr>
      <w:r>
        <w:t xml:space="preserve">The Sealed-Bid Method (Knaster’s Procedure) — private dollar bids, highest bidder wins, cash settles the split.</w:t>
      </w:r>
    </w:p>
    <w:p>
      <w:pPr>
        <w:pStyle w:val="Compact"/>
        <w:numPr>
          <w:ilvl w:val="0"/>
          <w:numId w:val="1001"/>
        </w:numPr>
      </w:pPr>
      <w:r>
        <w:t xml:space="preserve">Proportional Division Across Value, Debt, and Cash Flow — target value, debt, and cash flow proportionally at once.</w:t>
      </w:r>
    </w:p>
    <w:p>
      <w:pPr>
        <w:pStyle w:val="BlockText"/>
      </w:pPr>
      <w:r>
        <w:t xml:space="preserve">The bottom line All five methods reach the same arithmetic — $85M of net value split $51M / $34M — but they get there differently and are better for different goals. Section 14 compares them side by side to help make that choice deliberately.</w:t>
      </w:r>
    </w:p>
    <w:bookmarkEnd w:id="10"/>
    <w:bookmarkStart w:id="13" w:name="X34599aac16c6ce2161a58180886ba87d219c723"/>
    <w:p>
      <w:pPr>
        <w:pStyle w:val="Heading1"/>
      </w:pPr>
      <w:r>
        <w:t xml:space="preserve">2. The Problem</w:t>
      </w:r>
    </w:p>
    <w:bookmarkStart w:id="11" w:name="X6ac2f7683ca7531a6f9b88f7dbfd7b1e748e159"/>
    <w:p>
      <w:pPr>
        <w:pStyle w:val="Heading2"/>
      </w:pPr>
      <w:r>
        <w:t xml:space="preserve">2.1 The setting</w:t>
      </w:r>
    </w:p>
    <w:p>
      <w:pPr>
        <w:pStyle w:val="FirstParagraph"/>
      </w:pPr>
      <w:r>
        <w:t xml:space="preserve">The estate must be split between two owners with unequal ownership shares: 60% and 40%. The properties cannot be physically divided. Giving one partner “60% of a building” would recreate the same co-ownership the separation is meant to end. Four features make the problem hard:</w:t>
      </w:r>
    </w:p>
    <w:p>
      <w:pPr>
        <w:pStyle w:val="Compact"/>
        <w:numPr>
          <w:ilvl w:val="0"/>
          <w:numId w:val="1002"/>
        </w:numPr>
      </w:pPr>
      <w:r>
        <w:t xml:space="preserve">Indivisibility. Properties are whole assets. A building usually must go to one partner or the other.</w:t>
      </w:r>
    </w:p>
    <w:p>
      <w:pPr>
        <w:pStyle w:val="Compact"/>
        <w:numPr>
          <w:ilvl w:val="0"/>
          <w:numId w:val="1002"/>
        </w:numPr>
      </w:pPr>
      <w:r>
        <w:t xml:space="preserve">Debt asymmetry. Some properties have loans, and others do not. A loan with a low interest rate is less costly than a loan with today’s market interest rate, even if both have the same balance.</w:t>
      </w:r>
    </w:p>
    <w:p>
      <w:pPr>
        <w:pStyle w:val="Compact"/>
        <w:numPr>
          <w:ilvl w:val="0"/>
          <w:numId w:val="1002"/>
        </w:numPr>
      </w:pPr>
      <w:r>
        <w:t xml:space="preserve">Tax basis and depreciation asymmetry. Some properties have less tax basis left, which means fewer future depreciation deductions.</w:t>
      </w:r>
    </w:p>
    <w:p>
      <w:pPr>
        <w:pStyle w:val="Compact"/>
        <w:numPr>
          <w:ilvl w:val="0"/>
          <w:numId w:val="1002"/>
        </w:numPr>
      </w:pPr>
      <w:r>
        <w:t xml:space="preserve">Unequal shares. A 60 / 40 stake must be honored in economic substance, not merely in the count of buildings each partner receives.</w:t>
      </w:r>
    </w:p>
    <w:bookmarkEnd w:id="11"/>
    <w:bookmarkStart w:id="12" w:name="X60227b3c5628130590a4e2bc035802dadc33adf"/>
    <w:p>
      <w:pPr>
        <w:pStyle w:val="Heading2"/>
      </w:pPr>
      <w:r>
        <w:t xml:space="preserve">2.2 Three Groups of Methods</w:t>
      </w:r>
    </w:p>
    <w:p>
      <w:pPr>
        <w:pStyle w:val="FirstParagraph"/>
      </w:pPr>
      <w:r>
        <w:t xml:space="preserve">The five methods fall into three groups.</w:t>
      </w:r>
    </w:p>
    <w:p>
      <w:pPr>
        <w:pStyle w:val="Compact"/>
        <w:numPr>
          <w:ilvl w:val="0"/>
          <w:numId w:val="1003"/>
        </w:numPr>
      </w:pPr>
      <w:r>
        <w:t xml:space="preserve">Preference-based drafts (Methods 1 and 2) ask each partner to rank properties in order of preference. They show which properties each partner wants most, but not how much more he wants one property over another. They rely on luck to resolve ties and may require a large final cash settlement to reach 60/40.</w:t>
      </w:r>
    </w:p>
    <w:p>
      <w:pPr>
        <w:pStyle w:val="Compact"/>
        <w:numPr>
          <w:ilvl w:val="0"/>
          <w:numId w:val="1003"/>
        </w:numPr>
      </w:pPr>
      <w:r>
        <w:t xml:space="preserve">Bid-based methods (Methods 3 and 4) ask each partner to put dollar values on the properties. This shows how strongly each partner wants a property and allows contested properties to be resolved with compensation instead of a coin flip.</w:t>
      </w:r>
    </w:p>
    <w:p>
      <w:pPr>
        <w:pStyle w:val="Compact"/>
        <w:numPr>
          <w:ilvl w:val="0"/>
          <w:numId w:val="1003"/>
        </w:numPr>
      </w:pPr>
      <w:r>
        <w:t xml:space="preserve">Proportional division (Method 5) sets preference aside and uses a model to balance value, debt, and cash flow as closely as possible.</w:t>
      </w:r>
    </w:p>
    <w:p>
      <w:pPr>
        <w:pStyle w:val="BlockText"/>
      </w:pPr>
      <w:r>
        <w:t xml:space="preserve">Design Principle A good method should do three things: respect the 60/40 ownership split from the start, so the final cash payment is not too large; recognize how strongly each partner wants a property, not just the order of preference; and resolve contested properties with compensation, not luck.</w:t>
      </w:r>
    </w:p>
    <w:bookmarkEnd w:id="12"/>
    <w:bookmarkEnd w:id="13"/>
    <w:bookmarkStart w:id="14" w:name="Xc499a56eecbce36101c9d1f829a18b882fde668"/>
    <w:p>
      <w:pPr>
        <w:pStyle w:val="Heading1"/>
      </w:pPr>
      <w:r>
        <w:t xml:space="preserve">3. Portfolio Parameters &amp; the Arithmetic of the Split</w:t>
      </w:r>
    </w:p>
    <w:p>
      <w:pPr>
        <w:pStyle w:val="FirstParagraph"/>
      </w:pPr>
      <w:r>
        <w:t xml:space="preserve">The numbers below are the starting point for all calculations. Because the banks have agreed to transfer the loans and release the guarantors, each loan can stay with its property. Therefore, the split can be calculated using net equity — property value minus debt — instead of gross property value. These lender agreements must be confirmed in writing.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Portfolio Component</w:t>
            </w:r>
          </w:p>
        </w:tc>
        <w:tc>
          <w:tcPr/>
          <w:p>
            <w:pPr>
              <w:pStyle w:val="Compact"/>
            </w:pPr>
            <w:r>
              <w:t xml:space="preserve">Amount</w:t>
            </w:r>
          </w:p>
        </w:tc>
        <w:tc>
          <w:tcPr/>
          <w:p>
            <w:pPr>
              <w:pStyle w:val="Compact"/>
            </w:pPr>
            <w:r>
              <w:t xml:space="preserve">How it is measured</w:t>
            </w:r>
          </w:p>
        </w:tc>
      </w:tr>
      <w:tr>
        <w:tc>
          <w:tcPr/>
          <w:p>
            <w:pPr>
              <w:pStyle w:val="Compact"/>
            </w:pPr>
            <w:r>
              <w:t xml:space="preserve">Total property value</w:t>
            </w:r>
          </w:p>
        </w:tc>
        <w:tc>
          <w:tcPr/>
          <w:p>
            <w:pPr>
              <w:pStyle w:val="Compact"/>
            </w:pPr>
            <w:r>
              <w:t xml:space="preserve">$120,000,000</w:t>
            </w:r>
          </w:p>
        </w:tc>
        <w:tc>
          <w:tcPr/>
          <w:p>
            <w:pPr>
              <w:pStyle w:val="Compact"/>
            </w:pPr>
            <w:r>
              <w:t xml:space="preserve">Agreed property value</w:t>
            </w:r>
          </w:p>
        </w:tc>
      </w:tr>
      <w:tr>
        <w:tc>
          <w:tcPr/>
          <w:p>
            <w:pPr>
              <w:pStyle w:val="Compact"/>
            </w:pPr>
            <w:r>
              <w:t xml:space="preserve">Less: total mortgage debt</w:t>
            </w:r>
          </w:p>
        </w:tc>
        <w:tc>
          <w:tcPr/>
          <w:p>
            <w:pPr>
              <w:pStyle w:val="Compact"/>
            </w:pPr>
            <w:r>
              <w:t xml:space="preserve">($40,000,000)</w:t>
            </w:r>
          </w:p>
        </w:tc>
        <w:tc>
          <w:tcPr/>
          <w:p>
            <w:pPr>
              <w:pStyle w:val="Compact"/>
            </w:pPr>
            <w:r>
              <w:t xml:space="preserve">Loans differ by property</w:t>
            </w:r>
          </w:p>
        </w:tc>
      </w:tr>
      <w:tr>
        <w:tc>
          <w:tcPr/>
          <w:p>
            <w:pPr>
              <w:pStyle w:val="Compact"/>
            </w:pPr>
            <w:r>
              <w:t xml:space="preserve">Net property equity</w:t>
            </w:r>
          </w:p>
        </w:tc>
        <w:tc>
          <w:tcPr/>
          <w:p>
            <w:pPr>
              <w:pStyle w:val="Compact"/>
            </w:pPr>
            <w:r>
              <w:t xml:space="preserve">$80,000,000</w:t>
            </w:r>
          </w:p>
        </w:tc>
        <w:tc>
          <w:tcPr/>
          <w:p>
            <w:pPr>
              <w:pStyle w:val="Compact"/>
            </w:pPr>
            <w:r>
              <w:t xml:space="preserve">Value − debt</w:t>
            </w:r>
          </w:p>
        </w:tc>
      </w:tr>
      <w:tr>
        <w:tc>
          <w:tcPr/>
          <w:p>
            <w:pPr>
              <w:pStyle w:val="Compact"/>
            </w:pPr>
            <w:r>
              <w:t xml:space="preserve">Plus: partnership cash</w:t>
            </w:r>
          </w:p>
        </w:tc>
        <w:tc>
          <w:tcPr/>
          <w:p>
            <w:pPr>
              <w:pStyle w:val="Compact"/>
            </w:pPr>
            <w:r>
              <w:t xml:space="preserve">$5,000,000</w:t>
            </w:r>
          </w:p>
        </w:tc>
        <w:tc>
          <w:tcPr/>
          <w:p>
            <w:pPr>
              <w:pStyle w:val="Compact"/>
            </w:pPr>
            <w:r>
              <w:t xml:space="preserve">Cash reserve</w:t>
            </w:r>
          </w:p>
        </w:tc>
      </w:tr>
      <w:tr>
        <w:tc>
          <w:tcPr/>
          <w:p>
            <w:pPr>
              <w:pStyle w:val="Compact"/>
            </w:pPr>
            <w:r>
              <w:t xml:space="preserve">Net value to divide</w:t>
            </w:r>
          </w:p>
        </w:tc>
        <w:tc>
          <w:tcPr/>
          <w:p>
            <w:pPr>
              <w:pStyle w:val="Compact"/>
            </w:pPr>
            <w:r>
              <w:t xml:space="preserve">$85,000,000</w:t>
            </w:r>
          </w:p>
        </w:tc>
        <w:tc>
          <w:tcPr/>
          <w:p>
            <w:pPr>
              <w:pStyle w:val="Compact"/>
            </w:pPr>
            <w:r>
              <w:t xml:space="preserve">Amount used for the final split</w:t>
            </w:r>
          </w:p>
        </w:tc>
      </w:tr>
    </w:tbl>
    <w:p>
      <w:pPr>
        <w:pStyle w:val="BodyText"/>
      </w:pPr>
      <w:r>
        <w:t xml:space="preserve">Applying the 60/40 ownership split to the $85M net value gives each partner’s target — the amount each partner should end up with after the final cash settlement: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Partner</w:t>
            </w:r>
          </w:p>
        </w:tc>
        <w:tc>
          <w:tcPr/>
          <w:p>
            <w:pPr>
              <w:pStyle w:val="Compact"/>
            </w:pPr>
            <w:r>
              <w:t xml:space="preserve">Ownership Stake</w:t>
            </w:r>
          </w:p>
        </w:tc>
        <w:tc>
          <w:tcPr/>
          <w:p>
            <w:pPr>
              <w:pStyle w:val="Compact"/>
            </w:pPr>
            <w:r>
              <w:t xml:space="preserve">Net-Value Target</w:t>
            </w:r>
          </w:p>
        </w:tc>
        <w:tc>
          <w:tcPr/>
          <w:p>
            <w:pPr>
              <w:pStyle w:val="Compact"/>
            </w:pPr>
            <w:r>
              <w:t xml:space="preserve">Gross-Value Reference*</w:t>
            </w:r>
          </w:p>
        </w:tc>
      </w:tr>
      <w:tr>
        <w:tc>
          <w:tcPr/>
          <w:p>
            <w:pPr>
              <w:pStyle w:val="Compact"/>
            </w:pPr>
            <w:r>
              <w:t xml:space="preserve">60% partner</w:t>
            </w:r>
          </w:p>
        </w:tc>
        <w:tc>
          <w:tcPr/>
          <w:p>
            <w:pPr>
              <w:pStyle w:val="Compact"/>
            </w:pPr>
            <w:r>
              <w:t xml:space="preserve">60%</w:t>
            </w:r>
          </w:p>
        </w:tc>
        <w:tc>
          <w:tcPr/>
          <w:p>
            <w:pPr>
              <w:pStyle w:val="Compact"/>
            </w:pPr>
            <w:r>
              <w:t xml:space="preserve">$51,000,000</w:t>
            </w:r>
          </w:p>
        </w:tc>
        <w:tc>
          <w:tcPr/>
          <w:p>
            <w:pPr>
              <w:pStyle w:val="Compact"/>
            </w:pPr>
            <w:r>
              <w:t xml:space="preserve">$72,000,000</w:t>
            </w:r>
          </w:p>
        </w:tc>
      </w:tr>
      <w:tr>
        <w:tc>
          <w:tcPr/>
          <w:p>
            <w:pPr>
              <w:pStyle w:val="Compact"/>
            </w:pPr>
            <w:r>
              <w:t xml:space="preserve">40% partner</w:t>
            </w:r>
          </w:p>
        </w:tc>
        <w:tc>
          <w:tcPr/>
          <w:p>
            <w:pPr>
              <w:pStyle w:val="Compact"/>
            </w:pPr>
            <w:r>
              <w:t xml:space="preserve">40%</w:t>
            </w:r>
          </w:p>
        </w:tc>
        <w:tc>
          <w:tcPr/>
          <w:p>
            <w:pPr>
              <w:pStyle w:val="Compact"/>
            </w:pPr>
            <w:r>
              <w:t xml:space="preserve">$34,000,000</w:t>
            </w:r>
          </w:p>
        </w:tc>
        <w:tc>
          <w:tcPr/>
          <w:p>
            <w:pPr>
              <w:pStyle w:val="Compact"/>
            </w:pPr>
            <w:r>
              <w:t xml:space="preserve">$48,000,000</w:t>
            </w:r>
          </w:p>
        </w:tc>
      </w:tr>
      <w:tr>
        <w:tc>
          <w:tcPr/>
          <w:p>
            <w:pPr>
              <w:pStyle w:val="Compact"/>
            </w:pPr>
            <w:r>
              <w:t xml:space="preserve">Total</w:t>
            </w:r>
          </w:p>
        </w:tc>
        <w:tc>
          <w:tcPr/>
          <w:p>
            <w:pPr>
              <w:pStyle w:val="Compact"/>
            </w:pPr>
            <w:r>
              <w:t xml:space="preserve">100%</w:t>
            </w:r>
          </w:p>
        </w:tc>
        <w:tc>
          <w:tcPr/>
          <w:p>
            <w:pPr>
              <w:pStyle w:val="Compact"/>
            </w:pPr>
            <w:r>
              <w:t xml:space="preserve">$85,000,000</w:t>
            </w:r>
          </w:p>
        </w:tc>
        <w:tc>
          <w:tcPr/>
          <w:p>
            <w:pPr>
              <w:pStyle w:val="Compact"/>
            </w:pPr>
            <w:r>
              <w:t xml:space="preserve">$120,000,000</w:t>
            </w:r>
          </w:p>
        </w:tc>
      </w:tr>
    </w:tbl>
    <w:p>
      <w:pPr>
        <w:pStyle w:val="Compact"/>
        <w:numPr>
          <w:ilvl w:val="0"/>
          <w:numId w:val="1004"/>
        </w:numPr>
      </w:pPr>
      <w:r>
        <w:t xml:space="preserve">The gross-value reference ($72M / $48M) is useful only when targeting proportional gross property value directly, as in Method 5. The actual required split is based on net value: $51M / $34M.</w:t>
      </w:r>
    </w:p>
    <w:p>
      <w:pPr>
        <w:pStyle w:val="BlockText"/>
      </w:pPr>
      <w:r>
        <w:t xml:space="preserve">On the $5M cash reserve The $5M cash reserve can be divided easily. It should be included in the final settlement calculation because it reduces how much outside cash either partner may need. It should not be split separately at the beginning.</w:t>
      </w:r>
    </w:p>
    <w:bookmarkEnd w:id="14"/>
    <w:bookmarkStart w:id="15" w:name="X797fc57cb468d201091f03c07f637c9f190a281"/>
    <w:p>
      <w:pPr>
        <w:pStyle w:val="Heading1"/>
      </w:pPr>
      <w:r>
        <w:t xml:space="preserve">4. Summary of the Five Methods</w:t>
      </w:r>
    </w:p>
    <w:p>
      <w:pPr>
        <w:pStyle w:val="FirstParagraph"/>
      </w:pPr>
      <w:r>
        <w:t xml:space="preserve">The table below places the five methods side by side on the qualities that most affect the outcome. The sections that follow describe each in turn, with an explicit list of pros and cons.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Family</w:t>
            </w:r>
          </w:p>
        </w:tc>
        <w:tc>
          <w:tcPr/>
          <w:p>
            <w:pPr>
              <w:pStyle w:val="Compact"/>
            </w:pPr>
            <w:r>
              <w:t xml:space="preserve">Measures how strongly each partner wants it?</w:t>
            </w:r>
          </w:p>
        </w:tc>
        <w:tc>
          <w:tcPr/>
          <w:p>
            <w:pPr>
              <w:pStyle w:val="Compact"/>
            </w:pPr>
            <w:r>
              <w:t xml:space="preserve">How contested properties are resolved</w:t>
            </w:r>
          </w:p>
        </w:tc>
        <w:tc>
          <w:tcPr/>
          <w:p>
            <w:pPr>
              <w:pStyle w:val="Compact"/>
            </w:pPr>
            <w:r>
              <w:t xml:space="preserve">Main drawback</w:t>
            </w:r>
          </w:p>
        </w:tc>
      </w:tr>
      <w:tr>
        <w:tc>
          <w:tcPr/>
          <w:p>
            <w:pPr>
              <w:pStyle w:val="Compact"/>
            </w:pPr>
            <w:r>
              <w:t xml:space="preserve">1 · Preference-List Draft</w:t>
            </w:r>
          </w:p>
        </w:tc>
        <w:tc>
          <w:tcPr/>
          <w:p>
            <w:pPr>
              <w:pStyle w:val="Compact"/>
            </w:pPr>
            <w:r>
              <w:t xml:space="preserve">Preference</w:t>
            </w:r>
          </w:p>
        </w:tc>
        <w:tc>
          <w:tcPr/>
          <w:p>
            <w:pPr>
              <w:pStyle w:val="Compact"/>
            </w:pPr>
            <w:r>
              <w:t xml:space="preserve">No</w:t>
            </w:r>
          </w:p>
        </w:tc>
        <w:tc>
          <w:tcPr/>
          <w:p>
            <w:pPr>
              <w:pStyle w:val="Compact"/>
            </w:pPr>
            <w:r>
              <w:t xml:space="preserve">Coin flip</w:t>
            </w:r>
          </w:p>
        </w:tc>
        <w:tc>
          <w:tcPr/>
          <w:p>
            <w:pPr>
              <w:pStyle w:val="Compact"/>
            </w:pPr>
            <w:r>
              <w:t xml:space="preserve">Luck; loser is not compensated</w:t>
            </w:r>
          </w:p>
        </w:tc>
      </w:tr>
      <w:tr>
        <w:tc>
          <w:tcPr/>
          <w:p>
            <w:pPr>
              <w:pStyle w:val="Compact"/>
            </w:pPr>
            <w:r>
              <w:t xml:space="preserve">2 · Balanced Alternation Draft</w:t>
            </w:r>
          </w:p>
        </w:tc>
        <w:tc>
          <w:tcPr/>
          <w:p>
            <w:pPr>
              <w:pStyle w:val="Compact"/>
            </w:pPr>
            <w:r>
              <w:t xml:space="preserve">Preference</w:t>
            </w:r>
          </w:p>
        </w:tc>
        <w:tc>
          <w:tcPr/>
          <w:p>
            <w:pPr>
              <w:pStyle w:val="Compact"/>
            </w:pPr>
            <w:r>
              <w:t xml:space="preserve">No</w:t>
            </w:r>
          </w:p>
        </w:tc>
        <w:tc>
          <w:tcPr/>
          <w:p>
            <w:pPr>
              <w:pStyle w:val="Compact"/>
            </w:pPr>
            <w:r>
              <w:t xml:space="preserve">Turn order (compensating pairs)</w:t>
            </w:r>
          </w:p>
        </w:tc>
        <w:tc>
          <w:tcPr/>
          <w:p>
            <w:pPr>
              <w:pStyle w:val="Compact"/>
            </w:pPr>
            <w:r>
              <w:t xml:space="preserve">Number of picks may not match dollar value</w:t>
            </w:r>
          </w:p>
        </w:tc>
      </w:tr>
      <w:tr>
        <w:tc>
          <w:tcPr/>
          <w:p>
            <w:pPr>
              <w:pStyle w:val="Compact"/>
            </w:pPr>
            <w:r>
              <w:t xml:space="preserve">3 · Right of First Refusal</w:t>
            </w:r>
          </w:p>
        </w:tc>
        <w:tc>
          <w:tcPr/>
          <w:p>
            <w:pPr>
              <w:pStyle w:val="Compact"/>
            </w:pPr>
            <w:r>
              <w:t xml:space="preserve">Bid</w:t>
            </w:r>
          </w:p>
        </w:tc>
        <w:tc>
          <w:tcPr/>
          <w:p>
            <w:pPr>
              <w:pStyle w:val="Compact"/>
            </w:pPr>
            <w:r>
              <w:t xml:space="preserve">Partly</w:t>
            </w:r>
          </w:p>
        </w:tc>
        <w:tc>
          <w:tcPr/>
          <w:p>
            <w:pPr>
              <w:pStyle w:val="Compact"/>
            </w:pPr>
            <w:r>
              <w:t xml:space="preserve">A stated price + the option to match</w:t>
            </w:r>
          </w:p>
        </w:tc>
        <w:tc>
          <w:tcPr/>
          <w:p>
            <w:pPr>
              <w:pStyle w:val="Compact"/>
            </w:pPr>
            <w:r>
              <w:t xml:space="preserve">Outcome depends on who names the price first</w:t>
            </w:r>
          </w:p>
        </w:tc>
      </w:tr>
      <w:tr>
        <w:tc>
          <w:tcPr/>
          <w:p>
            <w:pPr>
              <w:pStyle w:val="Compact"/>
            </w:pPr>
            <w:r>
              <w:t xml:space="preserve">4 · Sealed-Bid (Knaster’s)</w:t>
            </w:r>
          </w:p>
        </w:tc>
        <w:tc>
          <w:tcPr/>
          <w:p>
            <w:pPr>
              <w:pStyle w:val="Compact"/>
            </w:pPr>
            <w:r>
              <w:t xml:space="preserve">Bid</w:t>
            </w:r>
          </w:p>
        </w:tc>
        <w:tc>
          <w:tcPr/>
          <w:p>
            <w:pPr>
              <w:pStyle w:val="Compact"/>
            </w:pPr>
            <w:r>
              <w:t xml:space="preserve">Yes</w:t>
            </w:r>
          </w:p>
        </w:tc>
        <w:tc>
          <w:tcPr/>
          <w:p>
            <w:pPr>
              <w:pStyle w:val="Compact"/>
            </w:pPr>
            <w:r>
              <w:t xml:space="preserve">Willingness to pay + cash</w:t>
            </w:r>
          </w:p>
        </w:tc>
        <w:tc>
          <w:tcPr/>
          <w:p>
            <w:pPr>
              <w:pStyle w:val="Compact"/>
            </w:pPr>
            <w:r>
              <w:t xml:space="preserve">Risk of guessing or exploiting the other partner’s bid</w:t>
            </w:r>
          </w:p>
        </w:tc>
      </w:tr>
      <w:tr>
        <w:tc>
          <w:tcPr/>
          <w:p>
            <w:pPr>
              <w:pStyle w:val="Compact"/>
            </w:pPr>
            <w:r>
              <w:t xml:space="preserve">5 · Proportional Division</w:t>
            </w:r>
          </w:p>
        </w:tc>
        <w:tc>
          <w:tcPr/>
          <w:p>
            <w:pPr>
              <w:pStyle w:val="Compact"/>
            </w:pPr>
            <w:r>
              <w:t xml:space="preserve">Balance</w:t>
            </w:r>
          </w:p>
        </w:tc>
        <w:tc>
          <w:tcPr/>
          <w:p>
            <w:pPr>
              <w:pStyle w:val="Compact"/>
            </w:pPr>
            <w:r>
              <w:t xml:space="preserve">No</w:t>
            </w:r>
          </w:p>
        </w:tc>
        <w:tc>
          <w:tcPr/>
          <w:p>
            <w:pPr>
              <w:pStyle w:val="Compact"/>
            </w:pPr>
            <w:r>
              <w:t xml:space="preserve">Targets proportional results</w:t>
            </w:r>
          </w:p>
        </w:tc>
        <w:tc>
          <w:tcPr/>
          <w:p>
            <w:pPr>
              <w:pStyle w:val="Compact"/>
            </w:pPr>
            <w:r>
              <w:t xml:space="preserve">Too many targets to hit exactly</w:t>
            </w:r>
          </w:p>
        </w:tc>
      </w:tr>
    </w:tbl>
    <w:bookmarkEnd w:id="15"/>
    <w:bookmarkStart w:id="16" w:name="X5d3d0b01477d1baffe6292a4ad6b3a537e5452f"/>
    <w:p>
      <w:pPr>
        <w:pStyle w:val="Heading1"/>
      </w:pPr>
      <w:r>
        <w:t xml:space="preserve">5. Method 1 — The Preference-List Draft</w:t>
      </w:r>
    </w:p>
    <w:p>
      <w:pPr>
        <w:pStyle w:val="FirstParagraph"/>
      </w:pPr>
      <w:r>
        <w:t xml:space="preserve">The partners first agree on a single value for each property (or each group of related properties). Each partner then independently writes a ranked preference list, from most to least wanted. Proceeding with the lists, each partner takes his highest-ranked property that is still available. When both name the same property, a coin flip decides who receives it. The process continues until every property is assigned, and a cash payment at the end adjusts the result back toward the 60/40 split.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 Very simple to explain and run.</w:t>
            </w:r>
            <w:r>
              <w:t xml:space="preserve">• Needs only one agreed value per asset, not private valuations.</w:t>
            </w:r>
            <w:r>
              <w:t xml:space="preserve">• Each partner makes his own choices, which reduces the feeling that he had no say.</w:t>
            </w:r>
            <w:r>
              <w:t xml:space="preserve">• Fast and cheap to administer.</w:t>
            </w:r>
          </w:p>
        </w:tc>
        <w:tc>
          <w:tcPr/>
          <w:p>
            <w:pPr>
              <w:pStyle w:val="Compact"/>
            </w:pPr>
            <w:r>
              <w:t xml:space="preserve">• It only records the order of preference. It does not show how strongly a partner wants a property. A mild preference and a strong preference look the same.</w:t>
            </w:r>
            <w:r>
              <w:t xml:space="preserve">• The coin flip resolves the most contested assets by luck and pays the loser nothing.</w:t>
            </w:r>
            <w:r>
              <w:t xml:space="preserve">• It tends to act like a 50/50 split and then relies on a large final cash payment to get back to 60/40.</w:t>
            </w:r>
            <w:r>
              <w:t xml:space="preserve">• A single agreed value can hide real disagreement about what a property is worth.</w:t>
            </w:r>
          </w:p>
        </w:tc>
      </w:tr>
    </w:tbl>
    <w:bookmarkEnd w:id="16"/>
    <w:bookmarkStart w:id="17" w:name="X3702c979b5f7f25edec877bcf8535d936642ef2"/>
    <w:p>
      <w:pPr>
        <w:pStyle w:val="Heading1"/>
      </w:pPr>
      <w:r>
        <w:t xml:space="preserve">6. Method 2 — The Balanced Alternation Draft</w:t>
      </w:r>
    </w:p>
    <w:p>
      <w:pPr>
        <w:pStyle w:val="FirstParagraph"/>
      </w:pPr>
      <w:r>
        <w:t xml:space="preserve">A coin flip determines who chooses first. After that, the partners pick in a balancing pattern instead of simple back-and-forth order: Partner A takes pick 1, Partner B takes picks 2 and 3, Partner A takes picks 4 and 5, Partner B takes picks 6 and 7, and so on. The doubled second pick helps balance the advantage of picking first. As with Method 1, a cash payment at the end adjusts the result back toward 60/40.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 The 1–2–2 pattern helps balance the advantage of picking first.</w:t>
            </w:r>
            <w:r>
              <w:t xml:space="preserve">• Simple and deterministic once the coin is flipped; no dollar bids are required.</w:t>
            </w:r>
            <w:r>
              <w:t xml:space="preserve">• Preserves autonomy: each partner controls his own picks.</w:t>
            </w:r>
            <w:r>
              <w:t xml:space="preserve">• Easy to audit: the pick order is fixed and visible.</w:t>
            </w:r>
          </w:p>
        </w:tc>
        <w:tc>
          <w:tcPr/>
          <w:p>
            <w:pPr>
              <w:pStyle w:val="Compact"/>
            </w:pPr>
            <w:r>
              <w:t xml:space="preserve">• It still only shows the order of preference. It does not show how strongly a partner wants a property.</w:t>
            </w:r>
            <w:r>
              <w:t xml:space="preserve">• The first and most important pick is still decided by a coin flip.</w:t>
            </w:r>
            <w:r>
              <w:t xml:space="preserve">• Number of picks may not match dollar value. Equal numbers of picks can still produce unequal results.</w:t>
            </w:r>
            <w:r>
              <w:t xml:space="preserve">• It does not create a 60/40 split by itself. It may still require a large final cash payment.</w:t>
            </w:r>
            <w:r>
              <w:t xml:space="preserve">• No compensation for a contested asset. If it is taken on the other’s turn, you simply do not get it.</w:t>
            </w:r>
          </w:p>
        </w:tc>
      </w:tr>
    </w:tbl>
    <w:bookmarkEnd w:id="17"/>
    <w:bookmarkStart w:id="18" w:name="X9680f085ae4c7f26953e63565e4d90bcdcb5ad6"/>
    <w:p>
      <w:pPr>
        <w:pStyle w:val="Heading1"/>
      </w:pPr>
      <w:r>
        <w:t xml:space="preserve">7. Method 3 — The Right-of-First-Refusal Method</w:t>
      </w:r>
    </w:p>
    <w:p>
      <w:pPr>
        <w:pStyle w:val="FirstParagraph"/>
      </w:pPr>
      <w:r>
        <w:t xml:space="preserve">In this method, one partner names a price for a property, and the other partner gets the right of first refusal. The other partner may either buy the property at that price or let the first partner keep it at that price.</w:t>
      </w:r>
    </w:p>
    <w:p>
      <w:pPr>
        <w:pStyle w:val="BodyText"/>
      </w:pPr>
      <w:r>
        <w:t xml:space="preserve">This is meant to push the first partner to name a fair price. If the price is too low, the other partner will take the property. If the price is too high, the other partner will walk away.</w:t>
      </w:r>
    </w:p>
    <w:p>
      <w:pPr>
        <w:pStyle w:val="BlockText"/>
      </w:pPr>
      <w:r>
        <w:t xml:space="preserve">In plain terms One partner names a price on a property; the other then chooses to pay that price and take it or to let the first partner keep it at that price. The catch is that nobody wants to be the one who names the price.</w:t>
      </w:r>
    </w:p>
    <w:p>
      <w:pPr>
        <w:pStyle w:val="BlockText"/>
      </w:pPr>
      <w:r>
        <w:t xml:space="preserve">The partner who names the price is exposed; the partner who responds sees the number first and reacts:</w:t>
      </w:r>
    </w:p>
    <w:p>
      <w:pPr>
        <w:pStyle w:val="BlockText"/>
      </w:pPr>
      <w:r>
        <w:t xml:space="preserve">• Name it too low, and the responder grabs a valuable asset cheap.</w:t>
      </w:r>
    </w:p>
    <w:p>
      <w:pPr>
        <w:pStyle w:val="BlockText"/>
      </w:pPr>
      <w:r>
        <w:t xml:space="preserve">• Name it too high, and the responder simply walks away, having risked nothing.</w:t>
      </w:r>
    </w:p>
    <w:p>
      <w:pPr>
        <w:pStyle w:val="BlockText"/>
      </w:pPr>
      <w:r>
        <w:t xml:space="preserve">So, each partner tries to make the other name a price first, and that “after you” standoff can stop the method before it starts. It rewards playing your position, not telling the truth. Who wins an asset depends on who was forced to name a price first, not on who wants it most. The sealed-bid method avoids this because both partners submit their numbers at the same time, so no one gets to see the other partner’s number first and react to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 The pricing checks itself. If the price is too low, the other partner can take the property. If it is too high, the other partner can walk away.</w:t>
            </w:r>
            <w:r>
              <w:t xml:space="preserve">• Simple to administer one asset at a time.</w:t>
            </w:r>
            <w:r>
              <w:t xml:space="preserve">• Gives each partner a direct check on the other so neither can quietly grab a bargain.</w:t>
            </w:r>
            <w:r>
              <w:t xml:space="preserve">• It partly shows how strongly a partner wants the property because the stated price gives some information about value.</w:t>
            </w:r>
          </w:p>
        </w:tc>
        <w:tc>
          <w:tcPr/>
          <w:p>
            <w:pPr>
              <w:pStyle w:val="Compact"/>
            </w:pPr>
            <w:r>
              <w:t xml:space="preserve">• The result depends heavily on who names the price first and which property is handled first.</w:t>
            </w:r>
            <w:r>
              <w:t xml:space="preserve">• The partner with better information may have an advantage.</w:t>
            </w:r>
            <w:r>
              <w:t xml:space="preserve">• It does not produce a 60/40 split by itself. It still needs a final cash payment.</w:t>
            </w:r>
            <w:r>
              <w:t xml:space="preserve">• Can turn adversarial and slow when run property by property.</w:t>
            </w:r>
            <w:r>
              <w:t xml:space="preserve">• A partner can still lose a property he strongly wants if the other partner accepts the stated price.</w:t>
            </w:r>
          </w:p>
        </w:tc>
      </w:tr>
    </w:tbl>
    <w:bookmarkEnd w:id="18"/>
    <w:bookmarkStart w:id="19" w:name="Xbee4d92dc166879eeb746f4ab4bab08f4815b0e"/>
    <w:p>
      <w:pPr>
        <w:pStyle w:val="Heading1"/>
      </w:pPr>
      <w:r>
        <w:t xml:space="preserve">8. Method 4 — The Sealed-Bid Method (Knaster’s Method)</w:t>
      </w:r>
    </w:p>
    <w:p>
      <w:pPr>
        <w:pStyle w:val="FirstParagraph"/>
      </w:pPr>
      <w:r>
        <w:t xml:space="preserve">Knaster’s procedure is a well-known fair-division method for this situation: properties that cannot be split, unequal ownership shares, and cash used to balance the final result. It does not require the partners to agree in advance on property values, tax basis, debt value, or cash flow. Instead, each partner must factor those items into his private bid for each property. Each property goes to the highest bidder, and the 60/40 split is handled at the end through the cash settlement described in Section 13. Any surplus or extra cash created by the process is placed in the shared settlement account and divided 60/40 after all adjustments are calculated.</w:t>
      </w:r>
    </w:p>
    <w:p>
      <w:pPr>
        <w:pStyle w:val="BodyText"/>
      </w:pPr>
      <w:r>
        <w:t xml:space="preserve">8.1 The procedure</w:t>
      </w:r>
    </w:p>
    <w:p>
      <w:pPr>
        <w:pStyle w:val="Compact"/>
        <w:numPr>
          <w:ilvl w:val="0"/>
          <w:numId w:val="1005"/>
        </w:numPr>
      </w:pPr>
      <w:r>
        <w:t xml:space="preserve">Bid. Each partner privately and at the same time assigns a dollar value to every property, based on what he believes full ownership is worth.</w:t>
      </w:r>
    </w:p>
    <w:p>
      <w:pPr>
        <w:pStyle w:val="Compact"/>
        <w:numPr>
          <w:ilvl w:val="0"/>
          <w:numId w:val="1005"/>
        </w:numPr>
      </w:pPr>
      <w:r>
        <w:t xml:space="preserve">Allocate. Each property goes to the higher bidder for that property, independently of the 60 / 40 split.</w:t>
      </w:r>
    </w:p>
    <w:p>
      <w:pPr>
        <w:pStyle w:val="Compact"/>
        <w:numPr>
          <w:ilvl w:val="0"/>
          <w:numId w:val="1005"/>
        </w:numPr>
      </w:pPr>
      <w:r>
        <w:t xml:space="preserve">Fair share. Each partner’s fair share is his ownership percentage multiplied by his own total value for the portfolio.</w:t>
      </w:r>
    </w:p>
    <w:p>
      <w:pPr>
        <w:pStyle w:val="Compact"/>
        <w:numPr>
          <w:ilvl w:val="0"/>
          <w:numId w:val="1005"/>
        </w:numPr>
      </w:pPr>
      <w:r>
        <w:t xml:space="preserve">Settle. A partner who received assets worth more than his fair share, based on his own bids, pays the extra amount into a shared account. A partner who received less is paid from that account.</w:t>
      </w:r>
    </w:p>
    <w:p>
      <w:pPr>
        <w:pStyle w:val="Compact"/>
        <w:numPr>
          <w:ilvl w:val="0"/>
          <w:numId w:val="1005"/>
        </w:numPr>
      </w:pPr>
      <w:r>
        <w:t xml:space="preserve">Split the surplus. Any money left over in the shared account is divided 60/40. This surplus exists because the partners valued the properties differently.</w:t>
      </w:r>
      <w:r>
        <w:t xml:space="preserve"> </w:t>
      </w:r>
      <w:r>
        <w:t xml:space="preserve">8.2 What happens in a tie?</w:t>
      </w:r>
    </w:p>
    <w:p>
      <w:pPr>
        <w:pStyle w:val="FirstParagraph"/>
      </w:pPr>
      <w:r>
        <w:t xml:space="preserve">Exact ties are rare when partners bid genuine independent dollar figures. They can occur, especially using round numbers or where a pre-agreed floor is used. Resolve them with a rule fixed in advance, not on the spot. In order of preference:</w:t>
      </w:r>
    </w:p>
    <w:p>
      <w:pPr>
        <w:pStyle w:val="Compact"/>
        <w:numPr>
          <w:ilvl w:val="0"/>
          <w:numId w:val="1006"/>
        </w:numPr>
      </w:pPr>
      <w:r>
        <w:t xml:space="preserve">Balancing tie-break. Award the tied property to the partner who is furthest below his fair-share target. This breaks the tie and also helps move the final result closer to 60/40.</w:t>
      </w:r>
    </w:p>
    <w:p>
      <w:pPr>
        <w:pStyle w:val="Compact"/>
        <w:numPr>
          <w:ilvl w:val="0"/>
          <w:numId w:val="1006"/>
        </w:numPr>
      </w:pPr>
      <w:r>
        <w:t xml:space="preserve">Single sealed re-bid. Re-open only the tied property for one more sealed round with a minimum increase. This is clean, but it creates some risk that one partner can use information from the first round.</w:t>
      </w:r>
    </w:p>
    <w:p>
      <w:pPr>
        <w:pStyle w:val="Compact"/>
        <w:numPr>
          <w:ilvl w:val="0"/>
          <w:numId w:val="1006"/>
        </w:numPr>
      </w:pPr>
      <w:r>
        <w:t xml:space="preserve">Neutral coin flip. This should be used only as a last resort. It brings luck back into the process and does not compensate the losing partner, but it can work as a final fallback handled by the neutral person.</w:t>
      </w:r>
      <w:r>
        <w:t xml:space="preserve"> </w:t>
      </w:r>
      <w:r>
        <w:t xml:space="preserve">8.3 Does the 60% partner have an upper hand?</w:t>
      </w:r>
    </w:p>
    <w:p>
      <w:pPr>
        <w:pStyle w:val="FirstParagraph"/>
      </w:pPr>
      <w:r>
        <w:t xml:space="preserve">No. The 60% partner does not get to take a property if the 40% partner values it more. Under the sealed-bid method, each property goes to the highest bidder regardless of ownership percentage. The 60/40 split is handled later through cash. The 60% partner does have a larger ownership share, so he can receive more value before owing cash back. He also receives 60% of any surplus. But that follows the ownership split; it is not an extra advantage.</w:t>
      </w:r>
    </w:p>
    <w:p>
      <w:pPr>
        <w:pStyle w:val="BodyText"/>
      </w:pPr>
      <w:r>
        <w:t xml:space="preserve">The real risk is different: if one partner can predict the other partner’s bids, he can bid slightly higher and win the property. That is why bids should be sealed, submitted at the same time, and opened by a neutral person.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 Bids show how strongly each partner wants each property.</w:t>
            </w:r>
            <w:r>
              <w:t xml:space="preserve">• Each property goes to the partner who values it most.</w:t>
            </w:r>
            <w:r>
              <w:t xml:space="preserve">• It respects the 60/40 split through the final cash settlement, instead of stopping a partner during the bidding process.</w:t>
            </w:r>
            <w:r>
              <w:t xml:space="preserve">• Captures extra value when the partners value properties differently. The surplus is split 60/40.</w:t>
            </w:r>
            <w:r>
              <w:t xml:space="preserve">• No agreement on values is needed in advance.</w:t>
            </w:r>
          </w:p>
        </w:tc>
        <w:tc>
          <w:tcPr/>
          <w:p>
            <w:pPr>
              <w:pStyle w:val="Compact"/>
            </w:pPr>
            <w:r>
              <w:t xml:space="preserve">• A partner who can predict the other partner’s bids may be able to bid just slightly higher and win.</w:t>
            </w:r>
            <w:r>
              <w:t xml:space="preserve">• Requires both partners to submit sealed bids at the same time to a neutral person.</w:t>
            </w:r>
            <w:r>
              <w:t xml:space="preserve">• Can require a partner, often the 40% partner, to make a cash payment larger than he can afford.</w:t>
            </w:r>
            <w:r>
              <w:t xml:space="preserve">• Requires each partner to submit serious, independent dollar values.</w:t>
            </w:r>
            <w:r>
              <w:t xml:space="preserve">• Needs a pre-agreed tie rule.</w:t>
            </w:r>
          </w:p>
        </w:tc>
      </w:tr>
    </w:tbl>
    <w:bookmarkEnd w:id="19"/>
    <w:bookmarkStart w:id="23" w:name="X1dbbd5d4ae3cc2260fb8308c9b96e0f655f7166"/>
    <w:p>
      <w:pPr>
        <w:pStyle w:val="Heading1"/>
      </w:pPr>
      <w:r>
        <w:t xml:space="preserve">9. Method 5 — Proportional Division Across Value, Debt, and Cash Flow</w:t>
      </w:r>
    </w:p>
    <w:p>
      <w:pPr>
        <w:pStyle w:val="FirstParagraph"/>
      </w:pPr>
      <w:r>
        <w:t xml:space="preserve">This method puts preference aside and focuses on balance. The goal is for each partner to receive his 60/40 share of property value, debt, and cash flow as closely as possible — not just net equity.</w:t>
      </w:r>
    </w:p>
    <w:bookmarkStart w:id="20" w:name="X53868fe2ec2dc89abb3de3ace202f724509ea7d"/>
    <w:p>
      <w:pPr>
        <w:pStyle w:val="Heading2"/>
      </w:pPr>
      <w:r>
        <w:t xml:space="preserve">9.1 Why exact proportionality is hard</w:t>
      </w:r>
    </w:p>
    <w:p>
      <w:pPr>
        <w:pStyle w:val="FirstParagraph"/>
      </w:pPr>
      <w:r>
        <w:t xml:space="preserve">There are too many targets to hit exactly when the properties must stay whole. You generally cannot divide value, debt, and cash flow perfectly while also giving each partner separate properties. Shared fractional ownership would make the math easier, but it would recreate the co-ownership the separation is meant to end. These adjustments make this method workable.</w:t>
      </w:r>
    </w:p>
    <w:p>
      <w:pPr>
        <w:pStyle w:val="Compact"/>
        <w:numPr>
          <w:ilvl w:val="0"/>
          <w:numId w:val="1007"/>
        </w:numPr>
      </w:pPr>
      <w:r>
        <w:t xml:space="preserve">Debt: Debt can be handled separately. Because a property can be refinanced after it is assigned, either partner can borrow more or pay down debt later to reach his preferred debt level. Therefore, debt does not need to control the property split.</w:t>
      </w:r>
    </w:p>
    <w:p>
      <w:pPr>
        <w:pStyle w:val="Compact"/>
        <w:numPr>
          <w:ilvl w:val="0"/>
          <w:numId w:val="1007"/>
        </w:numPr>
      </w:pPr>
      <w:r>
        <w:t xml:space="preserve">Cash Flow: The partners agree in advance that one number, usually cash flow, may be close rather than exact.</w:t>
      </w:r>
    </w:p>
    <w:p>
      <w:pPr>
        <w:pStyle w:val="Compact"/>
        <w:numPr>
          <w:ilvl w:val="0"/>
          <w:numId w:val="1007"/>
        </w:numPr>
      </w:pPr>
      <w:r>
        <w:t xml:space="preserve">Cash Reserves: Any cash reserve can be used to help close any remaining net-equity gap.</w:t>
      </w:r>
    </w:p>
    <w:bookmarkEnd w:id="20"/>
    <w:bookmarkStart w:id="21" w:name="X447f17d494dafd19361b8645abdd4e2ebe02d88"/>
    <w:p>
      <w:pPr>
        <w:pStyle w:val="Heading2"/>
      </w:pPr>
      <w:r>
        <w:t xml:space="preserve">9.2 Two measurement conventions</w:t>
      </w:r>
    </w:p>
    <w:p>
      <w:pPr>
        <w:pStyle w:val="FirstParagraph"/>
      </w:pPr>
      <w:r>
        <w:t xml:space="preserve">For this split, two measurement rules should be used.</w:t>
      </w:r>
    </w:p>
    <w:p>
      <w:pPr>
        <w:pStyle w:val="Compact"/>
        <w:numPr>
          <w:ilvl w:val="0"/>
          <w:numId w:val="1008"/>
        </w:numPr>
      </w:pPr>
      <w:r>
        <w:t xml:space="preserve">Debt should be measured at today’s market value, not just the loan balance.</w:t>
      </w:r>
    </w:p>
    <w:p>
      <w:pPr>
        <w:pStyle w:val="Compact"/>
        <w:numPr>
          <w:ilvl w:val="0"/>
          <w:numId w:val="1008"/>
        </w:numPr>
      </w:pPr>
      <w:r>
        <w:t xml:space="preserve">Cash flow should be measured using NOI, before loan payments. This avoids letting different loan payments distort the property’s actual operating performance. After the split, each partner can refinance to set his own debt level and cash flow. (See Section 10.3)</w:t>
      </w:r>
    </w:p>
    <w:bookmarkEnd w:id="21"/>
    <w:bookmarkStart w:id="22" w:name="Xa4d890e536de5b952e9eee52f53a4431e062701"/>
    <w:p>
      <w:pPr>
        <w:pStyle w:val="Heading2"/>
      </w:pPr>
      <w:r>
        <w:t xml:space="preserve">9.3 How the properties are selected: three approaches</w:t>
      </w:r>
    </w:p>
    <w:p>
      <w:pPr>
        <w:pStyle w:val="FirstParagraph"/>
      </w:pPr>
      <w:r>
        <w:t xml:space="preserve">Method 5 sets the targets, but it does not decide exactly how the properties are chosen. There are three possible ways to assign them:</w:t>
      </w:r>
    </w:p>
    <w:p>
      <w:pPr>
        <w:pStyle w:val="BodyText"/>
      </w:pPr>
      <w:r>
        <w:t xml:space="preserve">Option 1 · Guided Manual Assignment (Partners choose, the model checks)</w:t>
      </w:r>
    </w:p>
    <w:p>
      <w:pPr>
        <w:pStyle w:val="BodyText"/>
      </w:pPr>
      <w:r>
        <w:t xml:space="preserve">Partners take turns picking properties in an order that reflects the 60/40 ownership split — roughly three picks for the 60% partner for every two picks by the 40% partner. A live model tracks the split as they go and shows when the result is moving away from the target. The model does not block any pick or assign properties by itself. If the split moves too far off target, or if both partners want the same property, the partners must resolve it by agreement.</w:t>
      </w:r>
    </w:p>
    <w:p>
      <w:pPr>
        <w:pStyle w:val="BlockText"/>
      </w:pPr>
      <w:r>
        <w:t xml:space="preserve">What “ratio-based selection order” means The pick order is designed to match the ownership split. For a 60/40 split, five picks might go A-B-A-B-A. That gives the 60% partner three picks and the 40% partner two picks. This reflects the larger ownership share during the picking process, instead of relying only on the final cash settlement.</w:t>
      </w:r>
    </w:p>
    <w:p>
      <w:pPr>
        <w:pStyle w:val="BlockText"/>
      </w:pPr>
      <w:r>
        <w:t xml:space="preserve">Some properties are single assets, while others should be treated as combined lots because they are adjacent, near each other, or large enough that they function as one economic package. Combined lots and single properties should be picked in separate rounds. The combined lots should use one 60/40 pick order, and the single properties should use a separate 60/40 pick order. This keeps each round more comparable, because a combined lot may be worth much more than an individual property.</w:t>
      </w:r>
    </w:p>
    <w:p>
      <w:pPr>
        <w:pStyle w:val="BlockText"/>
      </w:pPr>
      <w:r>
        <w:t xml:space="preserve">• Combined Lots and single properties should be picked in separate rounds. Combined Lots are much larger than individual properties. If they are mixed into one pick order, one turn may be worth much more than another, even if the number of turns is proportional.</w:t>
      </w:r>
    </w:p>
    <w:p>
      <w:pPr>
        <w:pStyle w:val="BlockText"/>
      </w:pPr>
      <w:r>
        <w:t xml:space="preserve">• Use two separate pick lists. Pick the Combined Lots in one 60/40 pick order and the single properties in another. That makes the turns more comparable within each group.</w:t>
      </w:r>
    </w:p>
    <w:p>
      <w:pPr>
        <w:pStyle w:val="FirstParagraph"/>
      </w:pPr>
      <w:r>
        <w:t xml:space="preserve">Option 2 · Preference-Weighted Optimization (The tool chooses, weighted by your preferences)</w:t>
      </w:r>
    </w:p>
    <w:p>
      <w:pPr>
        <w:pStyle w:val="BodyText"/>
      </w:pPr>
      <w:r>
        <w:t xml:space="preserve">Each partner scores every property. The model then assigns properties to create the best overall match while still staying within the agreed balance rules for value, debt, and cash flow.</w:t>
      </w:r>
    </w:p>
    <w:p>
      <w:pPr>
        <w:pStyle w:val="BodyText"/>
      </w:pPr>
      <w:r>
        <w:t xml:space="preserve">Option 3 · Guarded Draft with Mini-Bids (Partners choose in turn, disputes go to mini-auction)</w:t>
      </w:r>
    </w:p>
    <w:p>
      <w:pPr>
        <w:pStyle w:val="BodyText"/>
      </w:pPr>
      <w:r>
        <w:t xml:space="preserve">Partners take turns choosing properties, but the model can block a pick if it would move the split too far away from the 60/40 target. If both partners want the same property, that property is handled through a small sealed-bid process. The difference between the two bids is then handled through the final cash settlement.</w:t>
      </w:r>
    </w:p>
    <w:p>
      <w:pPr>
        <w:pStyle w:val="BodyText"/>
      </w:pPr>
      <w:r>
        <w:t xml:space="preserve">The three options differ in how much control the partners keep. Option 1 gives the partners the most control. Option 2 lets the model decide. Option 3 lets the partners choose, but gives the model the power to reject picks that do not fit the rules. Options 2 and 3 use scores or bids, so they can show how strongly each partner wants a property. But they also require honest scoring or bidding.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 Balances every agreed target: value, debt, and cash flow — not just net equity.</w:t>
            </w:r>
            <w:r>
              <w:t xml:space="preserve">• Creates balanced results that are easier to explain as fair.</w:t>
            </w:r>
            <w:r>
              <w:t xml:space="preserve">• Debt can be handled separately through refinancing.</w:t>
            </w:r>
            <w:r>
              <w:t xml:space="preserve">• Flexible: the same targets can be reached manually, by model, or through a guarded draft.</w:t>
            </w:r>
          </w:p>
        </w:tc>
        <w:tc>
          <w:tcPr/>
          <w:p>
            <w:pPr>
              <w:pStyle w:val="Compact"/>
            </w:pPr>
            <w:r>
              <w:t xml:space="preserve">• There are too many targets to hit exactly with whole properties. Exact balance may require shared ownership of one property, which would recreate the co-ownership the partners are trying to end.</w:t>
            </w:r>
            <w:r>
              <w:t xml:space="preserve">• If shared ownership is not allowed, the adjustment must come from refinancing and cash. One number, usually cash flow, must be allowed to be close rather than exact.</w:t>
            </w:r>
            <w:r>
              <w:t xml:space="preserve">• It may miss the extra value created when one partner wants a property much more than the other.</w:t>
            </w:r>
            <w:r>
              <w:t xml:space="preserve">• Options 2 and 3 can create the same risk as bidding if scores or bids are not honest.</w:t>
            </w:r>
            <w:r>
              <w:t xml:space="preserve">• Requires reliable data for both partners, including current debt value and NOI.</w:t>
            </w:r>
          </w:p>
        </w:tc>
      </w:tr>
    </w:tbl>
    <w:bookmarkEnd w:id="22"/>
    <w:bookmarkEnd w:id="23"/>
    <w:bookmarkStart w:id="28" w:name="X03c60a5fce9c6a4cf78f5020d8abe850ac46264"/>
    <w:p>
      <w:pPr>
        <w:pStyle w:val="Heading1"/>
      </w:pPr>
      <w:r>
        <w:t xml:space="preserve">10. Valuing a Mortgaged Property Correctly</w:t>
      </w:r>
    </w:p>
    <w:p>
      <w:pPr>
        <w:pStyle w:val="FirstParagraph"/>
      </w:pPr>
      <w:r>
        <w:t xml:space="preserve">The bid-based methods are only as fair as the numbers used in them. A common mistake is to value every mortgaged property as property value minus loan balance. That may be too simple because two loans with the same balance can have very different economic value depending on their interest rate and terms.</w:t>
      </w:r>
    </w:p>
    <w:p>
      <w:pPr>
        <w:pStyle w:val="BlockText"/>
      </w:pPr>
      <w:r>
        <w:t xml:space="preserve">Is a property worth $20M with a $12M loan worth more than a property worth $8M with no loan?</w:t>
      </w:r>
    </w:p>
    <w:p>
      <w:pPr>
        <w:pStyle w:val="BlockText"/>
      </w:pPr>
      <w:r>
        <w:t xml:space="preserve">(This is a valuation question, not an example of a fair split. Assigning these two properties one each would not produce 60/40 on any measure.)</w:t>
      </w:r>
    </w:p>
    <w:p>
      <w:pPr>
        <w:pStyle w:val="FirstParagraph"/>
      </w:pPr>
      <w:r>
        <w:t xml:space="preserve">On paper, both properties show $8M of equity. But they are not the same economically. The property with debt may have different risk, tax benefits, cash flow, and financing options. That is why bids can be better than one agreed value: each partner can decide what those differences are worth to him.</w:t>
      </w:r>
    </w:p>
    <w:p>
      <w:pPr>
        <w:pStyle w:val="Compact"/>
        <w:numPr>
          <w:ilvl w:val="0"/>
          <w:numId w:val="1009"/>
        </w:numPr>
      </w:pPr>
      <w:r>
        <w:t xml:space="preserve">Asset scale. The $20M property is a larger asset. Refinancing can change how much debt each partner carries, but it cannot change the size of the property he owns. The larger asset produces more depreciation, more NOI, and more exposure to both gains and losses.</w:t>
      </w:r>
    </w:p>
    <w:p>
      <w:pPr>
        <w:pStyle w:val="Compact"/>
        <w:numPr>
          <w:ilvl w:val="0"/>
          <w:numId w:val="1009"/>
        </w:numPr>
      </w:pPr>
      <w:r>
        <w:t xml:space="preserve">Tax benefits. Depreciation is based on property value, not equity. The $20M property may therefore create more depreciation deductions than the $8M property, plus possible interest deductions on the loan.</w:t>
      </w:r>
    </w:p>
    <w:p>
      <w:pPr>
        <w:pStyle w:val="Compact"/>
        <w:numPr>
          <w:ilvl w:val="0"/>
          <w:numId w:val="1009"/>
        </w:numPr>
      </w:pPr>
      <w:r>
        <w:t xml:space="preserve">Non-recourse protection. If the loan is truly non-recourse, the borrower may have some protection in a bad outcome because the lender’s recovery is generally limited to the property.</w:t>
      </w:r>
    </w:p>
    <w:p>
      <w:pPr>
        <w:pStyle w:val="Compact"/>
        <w:numPr>
          <w:ilvl w:val="0"/>
          <w:numId w:val="1009"/>
        </w:numPr>
      </w:pPr>
      <w:r>
        <w:t xml:space="preserve">Cash flow and financing flexibility. Debt can help or hurt cash flow depending on whether the property’s return is higher or lower than the loan rate. A property with no loan may produce more cash now and may allow the owner to borrow later if desired.</w:t>
      </w:r>
    </w:p>
    <w:bookmarkStart w:id="24" w:name="X86e6fd986ef60fc68aa5d68fec8ce92b2bc31b5"/>
    <w:p>
      <w:pPr>
        <w:pStyle w:val="Heading2"/>
      </w:pPr>
      <w:r>
        <w:t xml:space="preserve">10.1 The valuation table</w:t>
      </w:r>
    </w:p>
    <w:p>
      <w:pPr>
        <w:pStyle w:val="FirstParagraph"/>
      </w:pPr>
      <w:r>
        <w:t xml:space="preserve">The worksheet should capture these differences. It will not produce one perfect “true value,” because some items depend on the partner who receives the property. But it gives each partner the information needed to make his own bid.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captures</w:t>
            </w:r>
          </w:p>
        </w:tc>
        <w:tc>
          <w:tcPr/>
          <w:p>
            <w:pPr>
              <w:pStyle w:val="Compact"/>
            </w:pPr>
            <w:r>
              <w:t xml:space="preserve">Same for everyone or partner-specific?</w:t>
            </w:r>
          </w:p>
        </w:tc>
      </w:tr>
      <w:tr>
        <w:tc>
          <w:tcPr/>
          <w:p>
            <w:pPr>
              <w:pStyle w:val="Compact"/>
            </w:pPr>
            <w:r>
              <w:t xml:space="preserve">1 · Value</w:t>
            </w:r>
          </w:p>
        </w:tc>
        <w:tc>
          <w:tcPr/>
          <w:p>
            <w:pPr>
              <w:pStyle w:val="Compact"/>
            </w:pPr>
            <w:r>
              <w:t xml:space="preserve">Agreed property value</w:t>
            </w:r>
          </w:p>
        </w:tc>
        <w:tc>
          <w:tcPr/>
          <w:p>
            <w:pPr>
              <w:pStyle w:val="Compact"/>
            </w:pPr>
            <w:r>
              <w:t xml:space="preserve">Same for everyone, based on the agreed appraisal</w:t>
            </w:r>
          </w:p>
        </w:tc>
      </w:tr>
      <w:tr>
        <w:tc>
          <w:tcPr/>
          <w:p>
            <w:pPr>
              <w:pStyle w:val="Compact"/>
            </w:pPr>
            <w:r>
              <w:t xml:space="preserve">2 · Mortgage</w:t>
            </w:r>
          </w:p>
        </w:tc>
        <w:tc>
          <w:tcPr/>
          <w:p>
            <w:pPr>
              <w:pStyle w:val="Compact"/>
            </w:pPr>
            <w:r>
              <w:t xml:space="preserve">Loan balance</w:t>
            </w:r>
          </w:p>
        </w:tc>
        <w:tc>
          <w:tcPr/>
          <w:p>
            <w:pPr>
              <w:pStyle w:val="Compact"/>
            </w:pPr>
            <w:r>
              <w:t xml:space="preserve">Same for everyone</w:t>
            </w:r>
          </w:p>
        </w:tc>
      </w:tr>
      <w:tr>
        <w:tc>
          <w:tcPr/>
          <w:p>
            <w:pPr>
              <w:pStyle w:val="Compact"/>
            </w:pPr>
            <w:r>
              <w:t xml:space="preserve">3 · Current market value of the debt</w:t>
            </w:r>
          </w:p>
        </w:tc>
        <w:tc>
          <w:tcPr/>
          <w:p>
            <w:pPr>
              <w:pStyle w:val="Compact"/>
            </w:pPr>
            <w:r>
              <w:t xml:space="preserve">Today’s value of the loan based on current market interest rates. A below-market loan can benefit the partner who receives it.</w:t>
            </w:r>
          </w:p>
        </w:tc>
        <w:tc>
          <w:tcPr/>
          <w:p>
            <w:pPr>
              <w:pStyle w:val="Compact"/>
            </w:pPr>
            <w:r>
              <w:t xml:space="preserve">Same for everyone, but only while the low rate remains in place.</w:t>
            </w:r>
          </w:p>
        </w:tc>
      </w:tr>
      <w:tr>
        <w:tc>
          <w:tcPr/>
          <w:p>
            <w:pPr>
              <w:pStyle w:val="Compact"/>
            </w:pPr>
            <w:r>
              <w:t xml:space="preserve">4 · Remaining depreciation</w:t>
            </w:r>
          </w:p>
        </w:tc>
        <w:tc>
          <w:tcPr/>
          <w:p>
            <w:pPr>
              <w:pStyle w:val="Compact"/>
            </w:pPr>
            <w:r>
              <w:t xml:space="preserve">Remaining tax basis and future depreciation deductions</w:t>
            </w:r>
          </w:p>
        </w:tc>
        <w:tc>
          <w:tcPr/>
          <w:p>
            <w:pPr>
              <w:pStyle w:val="Compact"/>
            </w:pPr>
            <w:r>
              <w:t xml:space="preserve">Partner-specific; depends on tax rate, how long the property is held, and possible recapture tax.</w:t>
            </w:r>
          </w:p>
        </w:tc>
      </w:tr>
      <w:tr>
        <w:tc>
          <w:tcPr/>
          <w:p>
            <w:pPr>
              <w:pStyle w:val="Compact"/>
            </w:pPr>
            <w:r>
              <w:t xml:space="preserve">5 · NOI / loan coverage</w:t>
            </w:r>
          </w:p>
        </w:tc>
        <w:tc>
          <w:tcPr/>
          <w:p>
            <w:pPr>
              <w:pStyle w:val="Compact"/>
            </w:pPr>
            <w:r>
              <w:t xml:space="preserve">NOI and ability to cover loan payments</w:t>
            </w:r>
          </w:p>
        </w:tc>
        <w:tc>
          <w:tcPr/>
          <w:p>
            <w:pPr>
              <w:pStyle w:val="Compact"/>
            </w:pPr>
            <w:r>
              <w:t xml:space="preserve">Same for everyone</w:t>
            </w:r>
          </w:p>
        </w:tc>
      </w:tr>
    </w:tbl>
    <w:p>
      <w:pPr>
        <w:pStyle w:val="BlockText"/>
      </w:pPr>
      <w:r>
        <w:t xml:space="preserve">Two cautions. First, below-market debt only has value while the low rate is protected. If the loan can be prepaid or reset soon, that benefit may disappear. Second, remaining tax basis may be worth more to a partner who will hold the property for a long time than to a partner who plans to sell soon. The table helps inform the bid; it does not replace the bid.</w:t>
      </w:r>
    </w:p>
    <w:bookmarkEnd w:id="24"/>
    <w:bookmarkStart w:id="25" w:name="X0e65641a7818c5f70f10152b0bbd8c6bab88905"/>
    <w:p>
      <w:pPr>
        <w:pStyle w:val="Heading2"/>
      </w:pPr>
      <w:r>
        <w:t xml:space="preserve">10.2 Debt NPV and NPV Equity</w:t>
      </w:r>
    </w:p>
    <w:p>
      <w:pPr>
        <w:pStyle w:val="FirstParagraph"/>
      </w:pPr>
      <w:r>
        <w:t xml:space="preserve">Row 3 measures what the loan is really worth today, not just what is owed on paper. This section explains how to calculate that number and how it affects equity.</w:t>
      </w:r>
    </w:p>
    <w:p>
      <w:pPr>
        <w:pStyle w:val="BodyText"/>
      </w:pPr>
      <w:r>
        <w:t xml:space="preserve">Debt NPV. It is today’s value of the remaining loan payments. It shows the real economic burden of the loan, not just the loan balance.</w:t>
      </w:r>
    </w:p>
    <w:p>
      <w:pPr>
        <w:pStyle w:val="BlockText"/>
      </w:pPr>
      <w:r>
        <w:t xml:space="preserve">Debt NPV = PV of remaining payment stream @ current market rate</w:t>
      </w:r>
    </w:p>
    <w:p>
      <w:pPr>
        <w:pStyle w:val="FirstParagraph"/>
      </w:pPr>
      <w:r>
        <w:t xml:space="preserve">For an amortizing loan, use the remaining monthly principal-and-interest payments. For an interest-only loan, use the remaining interest payments.</w:t>
      </w:r>
    </w:p>
    <w:p>
      <w:pPr>
        <w:pStyle w:val="BodyText"/>
      </w:pPr>
      <w:r>
        <w:t xml:space="preserve">Worked example</w:t>
      </w:r>
    </w:p>
    <w:p>
      <w:pPr>
        <w:pStyle w:val="BodyText"/>
      </w:pPr>
      <w:r>
        <w:t xml:space="preserve">The example compares two $10,000,000 loans with the same terms except for the interest rate. Both have 30-year amortization, 5 years until the next rate reset, and are valued using a 6% current market rate. This shows how a lower-rate loan can be worth more to the person who receives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Loan A (3% note rate)</w:t>
            </w:r>
          </w:p>
        </w:tc>
        <w:tc>
          <w:tcPr/>
          <w:p>
            <w:pPr>
              <w:pStyle w:val="Compact"/>
            </w:pPr>
            <w:r>
              <w:t xml:space="preserve">Loan B (6% note rate)</w:t>
            </w:r>
          </w:p>
        </w:tc>
      </w:tr>
      <w:tr>
        <w:tc>
          <w:tcPr/>
          <w:p>
            <w:pPr>
              <w:pStyle w:val="Compact"/>
            </w:pPr>
            <w:r>
              <w:t xml:space="preserve">Loan balance</w:t>
            </w:r>
          </w:p>
        </w:tc>
        <w:tc>
          <w:tcPr/>
          <w:p>
            <w:pPr>
              <w:pStyle w:val="Compact"/>
            </w:pPr>
            <w:r>
              <w:t xml:space="preserve">$10,000,000</w:t>
            </w:r>
          </w:p>
        </w:tc>
        <w:tc>
          <w:tcPr/>
          <w:p>
            <w:pPr>
              <w:pStyle w:val="Compact"/>
            </w:pPr>
            <w:r>
              <w:t xml:space="preserve">$10,000,000</w:t>
            </w:r>
          </w:p>
        </w:tc>
      </w:tr>
      <w:tr>
        <w:tc>
          <w:tcPr/>
          <w:p>
            <w:pPr>
              <w:pStyle w:val="Compact"/>
            </w:pPr>
            <w:r>
              <w:t xml:space="preserve">Debt value at today’s 6% market rate</w:t>
            </w:r>
          </w:p>
        </w:tc>
        <w:tc>
          <w:tcPr/>
          <w:p>
            <w:pPr>
              <w:pStyle w:val="Compact"/>
            </w:pPr>
            <w:r>
              <w:t xml:space="preserve">$8,772,041</w:t>
            </w:r>
          </w:p>
        </w:tc>
        <w:tc>
          <w:tcPr/>
          <w:p>
            <w:pPr>
              <w:pStyle w:val="Compact"/>
            </w:pPr>
            <w:r>
              <w:t xml:space="preserve">$10,000,000</w:t>
            </w:r>
          </w:p>
        </w:tc>
      </w:tr>
      <w:tr>
        <w:tc>
          <w:tcPr/>
          <w:p>
            <w:pPr>
              <w:pStyle w:val="Compact"/>
            </w:pPr>
            <w:r>
              <w:t xml:space="preserve">Benefit to partner who receives the loan</w:t>
            </w:r>
          </w:p>
        </w:tc>
        <w:tc>
          <w:tcPr/>
          <w:p>
            <w:pPr>
              <w:pStyle w:val="Compact"/>
            </w:pPr>
            <w:r>
              <w:t xml:space="preserve">≈ $1,227,959</w:t>
            </w:r>
          </w:p>
        </w:tc>
        <w:tc>
          <w:tcPr/>
          <w:p>
            <w:pPr>
              <w:pStyle w:val="Compact"/>
            </w:pPr>
            <w:r>
              <w:t xml:space="preserve">$0</w:t>
            </w:r>
          </w:p>
        </w:tc>
      </w:tr>
    </w:tbl>
    <w:p>
      <w:pPr>
        <w:pStyle w:val="BodyText"/>
      </w:pPr>
      <w:r>
        <w:t xml:space="preserve">Loan B has no hidden benefit because its 6% rate matches today’s market rate. Loan A has a 3% rate, which is below today’s market rate. That lower rate is valuable because the borrower pays less interest than he would on a new market-rate loan.</w:t>
      </w:r>
    </w:p>
    <w:p>
      <w:pPr>
        <w:pStyle w:val="BlockText"/>
      </w:pPr>
      <w:r>
        <w:t xml:space="preserve">Why this matters for the split A partner who receives Loan A is not really taking on the full economic burden of a $10M debt. Because the loan rate is below market, the debt is worth only about $8.77M today. That makes the loan about $1.23M less burdensome than the balance suggests. If the split used only the loan balance, it would miss that hidden benefit.</w:t>
      </w:r>
    </w:p>
    <w:p>
      <w:pPr>
        <w:pStyle w:val="FirstParagraph"/>
      </w:pPr>
      <w:r>
        <w:t xml:space="preserve">NPV Equity</w:t>
      </w:r>
    </w:p>
    <w:p>
      <w:pPr>
        <w:pStyle w:val="BodyText"/>
      </w:pPr>
      <w:r>
        <w:t xml:space="preserve">NPV Equity. Means the better measure of equity for a mortgaged property. It equals market value minus Debt NPV, instead of market value minus the loan balance. It shows the equity the partner effectively receives after the loan is valued correctly.</w:t>
      </w:r>
    </w:p>
    <w:p>
      <w:pPr>
        <w:pStyle w:val="BlockText"/>
      </w:pPr>
      <w:r>
        <w:t xml:space="preserve">NPV Equity = Market Value − Debt NPV</w:t>
      </w:r>
    </w:p>
    <w:p>
      <w:pPr>
        <w:pStyle w:val="FirstParagraph"/>
      </w:pPr>
      <w:r>
        <w:t xml:space="preserve">Using the example above, a property with Loan A has about $1,227,959 more equity than it would show if the loan were counted only at its balance.</w:t>
      </w:r>
    </w:p>
    <w:bookmarkEnd w:id="25"/>
    <w:bookmarkStart w:id="26" w:name="X6e3eb90110b0535e9141324bc4719c4366b8f58"/>
    <w:p>
      <w:pPr>
        <w:pStyle w:val="Heading2"/>
      </w:pPr>
      <w:r>
        <w:t xml:space="preserve">10.3 Unlevered Cash Flow (NOI)</w:t>
      </w:r>
    </w:p>
    <w:p>
      <w:pPr>
        <w:pStyle w:val="FirstParagraph"/>
      </w:pPr>
      <w:r>
        <w:t xml:space="preserve">NOI is the cash-flow number used for the split. It measures what the property produces before loan payments, so different financing choices do not distort the comparison.</w:t>
      </w:r>
    </w:p>
    <w:p>
      <w:pPr>
        <w:pStyle w:val="BlockText"/>
      </w:pPr>
      <w:r>
        <w:t xml:space="preserve">NOI (net operating income) = rental income minus operating expenses, before mortgage payments.</w:t>
      </w:r>
    </w:p>
    <w:p>
      <w:pPr>
        <w:pStyle w:val="FirstParagraph"/>
      </w:pPr>
      <w:r>
        <w:t xml:space="preserve">Levered cash flow is what remains after mortgage payments. It is not used for the proportionality test because it depends on the loan, not only on the property.</w:t>
      </w:r>
    </w:p>
    <w:p>
      <w:pPr>
        <w:pStyle w:val="BodyText"/>
      </w:pPr>
      <w:r>
        <w:t xml:space="preserve">Worked example</w:t>
      </w:r>
    </w:p>
    <w:p>
      <w:pPr>
        <w:pStyle w:val="BodyText"/>
      </w:pPr>
      <w:r>
        <w:t xml:space="preserve">Two otherwise-identical properties, each producing $100,000 of NOI. One carries Loan A (3%, from the Section 10.2 example) and the other carries Loan B (6%). Their unlevered cash flow is identical — both are $100,000 — but their levered cash flow is not: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Property with Loan A (3%)</w:t>
            </w:r>
          </w:p>
        </w:tc>
        <w:tc>
          <w:tcPr/>
          <w:p>
            <w:pPr>
              <w:pStyle w:val="Compact"/>
            </w:pPr>
            <w:r>
              <w:t xml:space="preserve">Property with Loan B (6%)</w:t>
            </w:r>
          </w:p>
        </w:tc>
      </w:tr>
      <w:tr>
        <w:tc>
          <w:tcPr/>
          <w:p>
            <w:pPr>
              <w:pStyle w:val="Compact"/>
            </w:pPr>
            <w:r>
              <w:t xml:space="preserve">NOI (unlevered)</w:t>
            </w:r>
          </w:p>
        </w:tc>
        <w:tc>
          <w:tcPr/>
          <w:p>
            <w:pPr>
              <w:pStyle w:val="Compact"/>
            </w:pPr>
            <w:r>
              <w:t xml:space="preserve">$100,000</w:t>
            </w:r>
          </w:p>
        </w:tc>
        <w:tc>
          <w:tcPr/>
          <w:p>
            <w:pPr>
              <w:pStyle w:val="Compact"/>
            </w:pPr>
            <w:r>
              <w:t xml:space="preserve">$100,000</w:t>
            </w:r>
          </w:p>
        </w:tc>
      </w:tr>
      <w:tr>
        <w:tc>
          <w:tcPr/>
          <w:p>
            <w:pPr>
              <w:pStyle w:val="Compact"/>
            </w:pPr>
            <w:r>
              <w:t xml:space="preserve">Annual debt service</w:t>
            </w:r>
          </w:p>
        </w:tc>
        <w:tc>
          <w:tcPr/>
          <w:p>
            <w:pPr>
              <w:pStyle w:val="Compact"/>
            </w:pPr>
            <w:r>
              <w:t xml:space="preserve">≈ $50,600</w:t>
            </w:r>
          </w:p>
        </w:tc>
        <w:tc>
          <w:tcPr/>
          <w:p>
            <w:pPr>
              <w:pStyle w:val="Compact"/>
            </w:pPr>
            <w:r>
              <w:t xml:space="preserve">≈ $71,900</w:t>
            </w:r>
          </w:p>
        </w:tc>
      </w:tr>
      <w:tr>
        <w:tc>
          <w:tcPr/>
          <w:p>
            <w:pPr>
              <w:pStyle w:val="Compact"/>
            </w:pPr>
            <w:r>
              <w:t xml:space="preserve">Levered cash flow</w:t>
            </w:r>
          </w:p>
        </w:tc>
        <w:tc>
          <w:tcPr/>
          <w:p>
            <w:pPr>
              <w:pStyle w:val="Compact"/>
            </w:pPr>
            <w:r>
              <w:t xml:space="preserve">≈ $49,400</w:t>
            </w:r>
          </w:p>
        </w:tc>
        <w:tc>
          <w:tcPr/>
          <w:p>
            <w:pPr>
              <w:pStyle w:val="Compact"/>
            </w:pPr>
            <w:r>
              <w:t xml:space="preserve">≈ $28,100</w:t>
            </w:r>
          </w:p>
        </w:tc>
      </w:tr>
    </w:tbl>
    <w:p>
      <w:pPr>
        <w:pStyle w:val="BodyText"/>
      </w:pPr>
      <w:r>
        <w:t xml:space="preserve">For the split, both properties should be treated the same because each produces $100,000 of NOI. One partner may end up with more cash after loan payments, but that difference comes from the loan, not from the property itself. That is why the split uses NOI, and each partner can later refinance to choose how much debt and cash flow he wants.</w:t>
      </w:r>
    </w:p>
    <w:p>
      <w:pPr>
        <w:pStyle w:val="BlockText"/>
      </w:pPr>
      <w:r>
        <w:t xml:space="preserve">Why this matters for the split. Splitting by cash flow after loan payments would let the loan — not the property itself — decide how much income each partner appears to receive. Using NOI removes that distortion. After the properties are assigned, each partner can decide whether to refinance for more cash flow and less debt, or more debt and less cash flow.</w:t>
      </w:r>
    </w:p>
    <w:bookmarkEnd w:id="26"/>
    <w:bookmarkStart w:id="27" w:name="X45910b752b70dcc80e43560ed1d8f484803696b"/>
    <w:p>
      <w:pPr>
        <w:pStyle w:val="Heading2"/>
      </w:pPr>
      <w:r>
        <w:t xml:space="preserve">10.4 Where It Fits in the Settlement</w:t>
      </w:r>
    </w:p>
    <w:p>
      <w:pPr>
        <w:pStyle w:val="FirstParagraph"/>
      </w:pPr>
      <w:r>
        <w:t xml:space="preserve">For the split, use NPV Equity rather than simple equity based on the loan balance. A split is balanced when each partner receives his 60% or 40% share of the portfolio's total NPV Equity. No separate payment is needed for a below-market loan. Because Debt NPV raises both that partner's equity and the portfolio total, the benefit is shared 60/40 automatically through the settlement arithmetic.</w:t>
      </w:r>
    </w:p>
    <w:bookmarkEnd w:id="27"/>
    <w:bookmarkEnd w:id="28"/>
    <w:bookmarkStart w:id="35" w:name="Xf2681c19780cbc43c236438f96050927d24ce0b"/>
    <w:p>
      <w:pPr>
        <w:pStyle w:val="Heading1"/>
      </w:pPr>
      <w:r>
        <w:t xml:space="preserve">11. Valuing the Tax Consequences Correctly</w:t>
      </w:r>
    </w:p>
    <w:p>
      <w:pPr>
        <w:pStyle w:val="FirstParagraph"/>
      </w:pPr>
      <w:r>
        <w:t xml:space="preserve">Value, debt, and cash flow are checked for 60/40 balance. But tax basis may not divide 60/40. This section adds a tax-basis adjustment so the partner who receives less basis is compensated.</w:t>
      </w:r>
    </w:p>
    <w:bookmarkStart w:id="29" w:name="Xe756714093b0ebfb2316cf808b72e4b3dd6dac5"/>
    <w:p>
      <w:pPr>
        <w:pStyle w:val="Heading2"/>
      </w:pPr>
      <w:r>
        <w:t xml:space="preserve">11.1 The Problem: Basis Doesn’t Always Track Ownership</w:t>
      </w:r>
    </w:p>
    <w:p>
      <w:pPr>
        <w:pStyle w:val="FirstParagraph"/>
      </w:pPr>
      <w:r>
        <w:t xml:space="preserve">Each property has a remaining tax basis, which is the amount still available for depreciation deductions. When properties are divided based on preference, value, debt, or cash flow, the tax basis may not split 60/40 like the rest of the deal.</w:t>
      </w:r>
    </w:p>
    <w:p>
      <w:pPr>
        <w:pStyle w:val="BodyText"/>
      </w:pPr>
      <w:r>
        <w:t xml:space="preserve">If one partner receives less tax basis than his share, he is worse off. He loses future depreciation deductions and may owe more tax if he later sells the property.</w:t>
      </w:r>
    </w:p>
    <w:p>
      <w:pPr>
        <w:pStyle w:val="BlockText"/>
      </w:pPr>
      <w:r>
        <w:t xml:space="preserve">Modeling constants To keep the Basis True-Up manageable, the model uses three fixed assumptions for both partners:</w:t>
      </w:r>
    </w:p>
    <w:p>
      <w:pPr>
        <w:pStyle w:val="BlockText"/>
      </w:pPr>
      <w:r>
        <w:t xml:space="preserve">• Same tax rate for both partners. One blended rate is used, not separate brackets.</w:t>
      </w:r>
    </w:p>
    <w:p>
      <w:pPr>
        <w:pStyle w:val="BlockText"/>
      </w:pPr>
      <w:r>
        <w:t xml:space="preserve">• Property disposition: Each property is treated as either held long-term or sold through a 1031 exchange.</w:t>
      </w:r>
    </w:p>
    <w:p>
      <w:pPr>
        <w:pStyle w:val="BlockText"/>
      </w:pPr>
      <w:r>
        <w:t xml:space="preserve">• Same discount rate as the rest of the calculations. The identical portfolio-wide rate already used for Debt NPV is reused here — no second rate to maintain.</w:t>
      </w:r>
    </w:p>
    <w:bookmarkEnd w:id="29"/>
    <w:bookmarkStart w:id="30" w:name="Xf17490560f603e71a469a796b905695ed04706b"/>
    <w:p>
      <w:pPr>
        <w:pStyle w:val="Heading2"/>
      </w:pPr>
      <w:r>
        <w:t xml:space="preserve">11.2 Calculating the Tax Basis</w:t>
      </w:r>
    </w:p>
    <w:p>
      <w:pPr>
        <w:pStyle w:val="FirstParagraph"/>
      </w:pPr>
      <w:r>
        <w:t xml:space="preserve">Tax basis means the amount of cost that is still left to depreciate for tax purposes. It is not the same as market value, and it is not always the same as the original purchase price.</w:t>
      </w:r>
    </w:p>
    <w:p>
      <w:pPr>
        <w:pStyle w:val="BodyText"/>
      </w:pPr>
      <w:r>
        <w:t xml:space="preserve">For each property, the tax return depreciation schedule shows the remaining depreciable basis. A property may have several depreciable items. For example, the building, improvements, appliances, equipment, and other capitalized costs may each have their own remaining basis and their own remaining depreciation period. One item may have 20 years left, while another may have only 5 years left.</w:t>
      </w:r>
    </w:p>
    <w:p>
      <w:pPr>
        <w:pStyle w:val="BodyText"/>
      </w:pPr>
      <w:r>
        <w:t xml:space="preserve">Because of that, the model should not assume that the entire basis shortfall is depreciated over one single period. The correct method is to start with the actual depreciation schedule for each property and value the future depreciation deductions year by year.</w:t>
      </w:r>
    </w:p>
    <w:p>
      <w:pPr>
        <w:pStyle w:val="Compact"/>
        <w:numPr>
          <w:ilvl w:val="0"/>
          <w:numId w:val="1010"/>
        </w:numPr>
      </w:pPr>
      <w:r>
        <w:t xml:space="preserve">List each remaining depreciable item from the tax records.</w:t>
      </w:r>
    </w:p>
    <w:p>
      <w:pPr>
        <w:pStyle w:val="Compact"/>
        <w:numPr>
          <w:ilvl w:val="0"/>
          <w:numId w:val="1010"/>
        </w:numPr>
      </w:pPr>
      <w:r>
        <w:t xml:space="preserve">Identify the remaining depreciation deductions by year for each item.</w:t>
      </w:r>
    </w:p>
    <w:p>
      <w:pPr>
        <w:pStyle w:val="Compact"/>
        <w:numPr>
          <w:ilvl w:val="0"/>
          <w:numId w:val="1010"/>
        </w:numPr>
      </w:pPr>
      <w:r>
        <w:t xml:space="preserve">Multiply each year’s deduction by the agreed tax rate to calculate the annual depreciation value.</w:t>
      </w:r>
    </w:p>
    <w:p>
      <w:pPr>
        <w:pStyle w:val="Compact"/>
        <w:numPr>
          <w:ilvl w:val="0"/>
          <w:numId w:val="1010"/>
        </w:numPr>
      </w:pPr>
      <w:r>
        <w:t xml:space="preserve">Discount each annual depreciation value to today’s dollars using the same discount rate used elsewhere in the model.</w:t>
      </w:r>
    </w:p>
    <w:p>
      <w:pPr>
        <w:pStyle w:val="Compact"/>
        <w:numPr>
          <w:ilvl w:val="0"/>
          <w:numId w:val="1010"/>
        </w:numPr>
      </w:pPr>
      <w:r>
        <w:t xml:space="preserve">Add all discounted annual depreciation values together.</w:t>
      </w:r>
      <w:r>
        <w:t xml:space="preserve"> </w:t>
      </w:r>
      <w:r>
        <w:t xml:space="preserve">The result is the present value, or NPV, of the lost annual depreciation value. That number is the Basis True-Up. It should not be discounted again.</w:t>
      </w:r>
    </w:p>
    <w:p>
      <w:pPr>
        <w:pStyle w:val="FirstParagraph"/>
      </w:pPr>
      <w:r>
        <w:t xml:space="preserve">In simple terms, the Basis True-Up is the value today of the future annual depreciation value that the shorted partner loses because he received less depreciable basis than his ownership share.</w:t>
      </w:r>
    </w:p>
    <w:bookmarkEnd w:id="30"/>
    <w:bookmarkStart w:id="31" w:name="worked-example"/>
    <w:p>
      <w:pPr>
        <w:pStyle w:val="Heading2"/>
      </w:pPr>
      <w:r>
        <w:t xml:space="preserve">Worked Example</w:t>
      </w:r>
    </w:p>
    <w:p>
      <w:pPr>
        <w:pStyle w:val="FirstParagraph"/>
      </w:pPr>
      <w:r>
        <w:t xml:space="preserve">For illustration only, consider a separate example with $130M in gross value divided 40/60, and a combined tax basis of $60M split evenly between the two partners based on the properties each received.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Partner A (40%)</w:t>
            </w:r>
          </w:p>
        </w:tc>
        <w:tc>
          <w:tcPr/>
          <w:p>
            <w:pPr>
              <w:pStyle w:val="Compact"/>
            </w:pPr>
            <w:r>
              <w:t xml:space="preserve">Partner B (60%)</w:t>
            </w:r>
          </w:p>
        </w:tc>
      </w:tr>
      <w:tr>
        <w:tc>
          <w:tcPr/>
          <w:p>
            <w:pPr>
              <w:pStyle w:val="Compact"/>
            </w:pPr>
            <w:r>
              <w:t xml:space="preserve">Target basis (proportional)</w:t>
            </w:r>
          </w:p>
        </w:tc>
        <w:tc>
          <w:tcPr/>
          <w:p>
            <w:pPr>
              <w:pStyle w:val="Compact"/>
            </w:pPr>
            <w:r>
              <w:t xml:space="preserve">$24,000,000</w:t>
            </w:r>
          </w:p>
        </w:tc>
        <w:tc>
          <w:tcPr/>
          <w:p>
            <w:pPr>
              <w:pStyle w:val="Compact"/>
            </w:pPr>
            <w:r>
              <w:t xml:space="preserve">$36,000,000</w:t>
            </w:r>
          </w:p>
        </w:tc>
      </w:tr>
      <w:tr>
        <w:tc>
          <w:tcPr/>
          <w:p>
            <w:pPr>
              <w:pStyle w:val="Compact"/>
            </w:pPr>
            <w:r>
              <w:t xml:space="preserve">Actual basis received</w:t>
            </w:r>
          </w:p>
        </w:tc>
        <w:tc>
          <w:tcPr/>
          <w:p>
            <w:pPr>
              <w:pStyle w:val="Compact"/>
            </w:pPr>
            <w:r>
              <w:t xml:space="preserve">$30,000,000</w:t>
            </w:r>
          </w:p>
        </w:tc>
        <w:tc>
          <w:tcPr/>
          <w:p>
            <w:pPr>
              <w:pStyle w:val="Compact"/>
            </w:pPr>
            <w:r>
              <w:t xml:space="preserve">$30,000,000</w:t>
            </w:r>
          </w:p>
        </w:tc>
      </w:tr>
      <w:tr>
        <w:tc>
          <w:tcPr/>
          <w:p>
            <w:pPr>
              <w:pStyle w:val="Compact"/>
            </w:pPr>
            <w:r>
              <w:t xml:space="preserve">Shortfall</w:t>
            </w:r>
          </w:p>
        </w:tc>
        <w:tc>
          <w:tcPr/>
          <w:p>
            <w:pPr>
              <w:pStyle w:val="Compact"/>
            </w:pPr>
            <w:r>
              <w:t xml:space="preserve">($6,000,000) — over-allocated</w:t>
            </w:r>
          </w:p>
        </w:tc>
        <w:tc>
          <w:tcPr/>
          <w:p>
            <w:pPr>
              <w:pStyle w:val="Compact"/>
            </w:pPr>
            <w:r>
              <w:t xml:space="preserve">$6,000,000 — under-allocated</w:t>
            </w:r>
          </w:p>
        </w:tc>
      </w:tr>
    </w:tbl>
    <w:p>
      <w:pPr>
        <w:pStyle w:val="BodyText"/>
      </w:pPr>
      <w:r>
        <w:t xml:space="preserve">Partner B owns 60% of the portfolio but receives only 50% of the remaining tax basis. He is short by $6M of depreciable basis. Partner A receives the offsetting excess.</w:t>
      </w:r>
    </w:p>
    <w:p>
      <w:pPr>
        <w:pStyle w:val="BodyText"/>
      </w:pPr>
      <w:r>
        <w:t xml:space="preserve">The $6M shortfall should not automatically be treated as one asset with one remaining life. In a real model, the shortfall should be broken into the actual components shown on the depreciation schedule.</w:t>
      </w:r>
    </w:p>
    <w:p>
      <w:pPr>
        <w:pStyle w:val="BodyText"/>
      </w:pPr>
      <w:r>
        <w:t xml:space="preserve">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of Partner B’s basis shortfall</w:t>
            </w:r>
          </w:p>
        </w:tc>
        <w:tc>
          <w:tcPr/>
          <w:p>
            <w:pPr>
              <w:pStyle w:val="Compact"/>
            </w:pPr>
            <w:r>
              <w:t xml:space="preserve">Basis shortfall</w:t>
            </w:r>
          </w:p>
        </w:tc>
        <w:tc>
          <w:tcPr/>
          <w:p>
            <w:pPr>
              <w:pStyle w:val="Compact"/>
            </w:pPr>
            <w:r>
              <w:t xml:space="preserve">Remaining life</w:t>
            </w:r>
          </w:p>
        </w:tc>
        <w:tc>
          <w:tcPr/>
          <w:p>
            <w:pPr>
              <w:pStyle w:val="Compact"/>
            </w:pPr>
            <w:r>
              <w:t xml:space="preserve">Annual lost deduction</w:t>
            </w:r>
          </w:p>
        </w:tc>
      </w:tr>
      <w:tr>
        <w:tc>
          <w:tcPr/>
          <w:p>
            <w:pPr>
              <w:pStyle w:val="Compact"/>
            </w:pPr>
            <w:r>
              <w:t xml:space="preserve">Building basis</w:t>
            </w:r>
          </w:p>
        </w:tc>
        <w:tc>
          <w:tcPr/>
          <w:p>
            <w:pPr>
              <w:pStyle w:val="Compact"/>
            </w:pPr>
            <w:r>
              <w:t xml:space="preserve">$4,000,000</w:t>
            </w:r>
          </w:p>
        </w:tc>
        <w:tc>
          <w:tcPr/>
          <w:p>
            <w:pPr>
              <w:pStyle w:val="Compact"/>
            </w:pPr>
            <w:r>
              <w:t xml:space="preserve">20 years</w:t>
            </w:r>
          </w:p>
        </w:tc>
        <w:tc>
          <w:tcPr/>
          <w:p>
            <w:pPr>
              <w:pStyle w:val="Compact"/>
            </w:pPr>
            <w:r>
              <w:t xml:space="preserve">$200,000</w:t>
            </w:r>
          </w:p>
        </w:tc>
      </w:tr>
      <w:tr>
        <w:tc>
          <w:tcPr/>
          <w:p>
            <w:pPr>
              <w:pStyle w:val="Compact"/>
            </w:pPr>
            <w:r>
              <w:t xml:space="preserve">Capital improvements</w:t>
            </w:r>
          </w:p>
        </w:tc>
        <w:tc>
          <w:tcPr/>
          <w:p>
            <w:pPr>
              <w:pStyle w:val="Compact"/>
            </w:pPr>
            <w:r>
              <w:t xml:space="preserve">$1,200,000</w:t>
            </w:r>
          </w:p>
        </w:tc>
        <w:tc>
          <w:tcPr/>
          <w:p>
            <w:pPr>
              <w:pStyle w:val="Compact"/>
            </w:pPr>
            <w:r>
              <w:t xml:space="preserve">10 years</w:t>
            </w:r>
          </w:p>
        </w:tc>
        <w:tc>
          <w:tcPr/>
          <w:p>
            <w:pPr>
              <w:pStyle w:val="Compact"/>
            </w:pPr>
            <w:r>
              <w:t xml:space="preserve">$120,000</w:t>
            </w:r>
          </w:p>
        </w:tc>
      </w:tr>
      <w:tr>
        <w:tc>
          <w:tcPr/>
          <w:p>
            <w:pPr>
              <w:pStyle w:val="Compact"/>
            </w:pPr>
            <w:r>
              <w:t xml:space="preserve">Appliances / equipment</w:t>
            </w:r>
          </w:p>
        </w:tc>
        <w:tc>
          <w:tcPr/>
          <w:p>
            <w:pPr>
              <w:pStyle w:val="Compact"/>
            </w:pPr>
            <w:r>
              <w:t xml:space="preserve">$800,000</w:t>
            </w:r>
          </w:p>
        </w:tc>
        <w:tc>
          <w:tcPr/>
          <w:p>
            <w:pPr>
              <w:pStyle w:val="Compact"/>
            </w:pPr>
            <w:r>
              <w:t xml:space="preserve">5 years</w:t>
            </w:r>
          </w:p>
        </w:tc>
        <w:tc>
          <w:tcPr/>
          <w:p>
            <w:pPr>
              <w:pStyle w:val="Compact"/>
            </w:pPr>
            <w:r>
              <w:t xml:space="preserve">$160,000</w:t>
            </w:r>
          </w:p>
        </w:tc>
      </w:tr>
      <w:tr>
        <w:tc>
          <w:tcPr/>
          <w:p>
            <w:pPr>
              <w:pStyle w:val="Compact"/>
            </w:pPr>
            <w:r>
              <w:t xml:space="preserve">Total</w:t>
            </w:r>
          </w:p>
        </w:tc>
        <w:tc>
          <w:tcPr/>
          <w:p>
            <w:pPr>
              <w:pStyle w:val="Compact"/>
            </w:pPr>
            <w:r>
              <w:t xml:space="preserve">$6,000,000</w:t>
            </w:r>
          </w:p>
        </w:tc>
        <w:tc>
          <w:tcPr/>
          <w:p>
            <w:pPr>
              <w:pStyle w:val="Compact"/>
            </w:pPr>
            <w:r>
              <w:t xml:space="preserve">—</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Annual lost deduction</w:t>
            </w:r>
          </w:p>
        </w:tc>
        <w:tc>
          <w:tcPr/>
          <w:p>
            <w:pPr>
              <w:pStyle w:val="Compact"/>
            </w:pPr>
            <w:r>
              <w:t xml:space="preserve">Annual depreciation value</w:t>
            </w:r>
          </w:p>
        </w:tc>
        <w:tc>
          <w:tcPr/>
          <w:p>
            <w:pPr>
              <w:pStyle w:val="Compact"/>
            </w:pPr>
            <w:r>
              <w:t xml:space="preserve">PV factor</w:t>
            </w:r>
          </w:p>
        </w:tc>
        <w:tc>
          <w:tcPr/>
          <w:p>
            <w:pPr>
              <w:pStyle w:val="Compact"/>
            </w:pPr>
            <w:r>
              <w:t xml:space="preserve">Present value</w:t>
            </w:r>
          </w:p>
        </w:tc>
      </w:tr>
      <w:tr>
        <w:tc>
          <w:tcPr/>
          <w:p>
            <w:pPr>
              <w:pStyle w:val="Compact"/>
            </w:pPr>
            <w:r>
              <w:t xml:space="preserve">Building basis</w:t>
            </w:r>
          </w:p>
        </w:tc>
        <w:tc>
          <w:tcPr/>
          <w:p>
            <w:pPr>
              <w:pStyle w:val="Compact"/>
            </w:pPr>
            <w:r>
              <w:t xml:space="preserve">$200,000</w:t>
            </w:r>
          </w:p>
        </w:tc>
        <w:tc>
          <w:tcPr/>
          <w:p>
            <w:pPr>
              <w:pStyle w:val="Compact"/>
            </w:pPr>
            <w:r>
              <w:t xml:space="preserve">$64,000</w:t>
            </w:r>
          </w:p>
        </w:tc>
        <w:tc>
          <w:tcPr/>
          <w:p>
            <w:pPr>
              <w:pStyle w:val="Compact"/>
            </w:pPr>
            <w:r>
              <w:t xml:space="preserve">11.47</w:t>
            </w:r>
          </w:p>
        </w:tc>
        <w:tc>
          <w:tcPr/>
          <w:p>
            <w:pPr>
              <w:pStyle w:val="Compact"/>
            </w:pPr>
            <w:r>
              <w:t xml:space="preserve">$734,000</w:t>
            </w:r>
          </w:p>
        </w:tc>
      </w:tr>
      <w:tr>
        <w:tc>
          <w:tcPr/>
          <w:p>
            <w:pPr>
              <w:pStyle w:val="Compact"/>
            </w:pPr>
            <w:r>
              <w:t xml:space="preserve">Capital improvements</w:t>
            </w:r>
          </w:p>
        </w:tc>
        <w:tc>
          <w:tcPr/>
          <w:p>
            <w:pPr>
              <w:pStyle w:val="Compact"/>
            </w:pPr>
            <w:r>
              <w:t xml:space="preserve">$120,000</w:t>
            </w:r>
          </w:p>
        </w:tc>
        <w:tc>
          <w:tcPr/>
          <w:p>
            <w:pPr>
              <w:pStyle w:val="Compact"/>
            </w:pPr>
            <w:r>
              <w:t xml:space="preserve">$38,400</w:t>
            </w:r>
          </w:p>
        </w:tc>
        <w:tc>
          <w:tcPr/>
          <w:p>
            <w:pPr>
              <w:pStyle w:val="Compact"/>
            </w:pPr>
            <w:r>
              <w:t xml:space="preserve">7.36</w:t>
            </w:r>
          </w:p>
        </w:tc>
        <w:tc>
          <w:tcPr/>
          <w:p>
            <w:pPr>
              <w:pStyle w:val="Compact"/>
            </w:pPr>
            <w:r>
              <w:t xml:space="preserve">$283,000</w:t>
            </w:r>
          </w:p>
        </w:tc>
      </w:tr>
      <w:tr>
        <w:tc>
          <w:tcPr/>
          <w:p>
            <w:pPr>
              <w:pStyle w:val="Compact"/>
            </w:pPr>
            <w:r>
              <w:t xml:space="preserve">Appliances / equipment</w:t>
            </w:r>
          </w:p>
        </w:tc>
        <w:tc>
          <w:tcPr/>
          <w:p>
            <w:pPr>
              <w:pStyle w:val="Compact"/>
            </w:pPr>
            <w:r>
              <w:t xml:space="preserve">$160,000</w:t>
            </w:r>
          </w:p>
        </w:tc>
        <w:tc>
          <w:tcPr/>
          <w:p>
            <w:pPr>
              <w:pStyle w:val="Compact"/>
            </w:pPr>
            <w:r>
              <w:t xml:space="preserve">$51,200</w:t>
            </w:r>
          </w:p>
        </w:tc>
        <w:tc>
          <w:tcPr/>
          <w:p>
            <w:pPr>
              <w:pStyle w:val="Compact"/>
            </w:pPr>
            <w:r>
              <w:t xml:space="preserve">4.21</w:t>
            </w:r>
          </w:p>
        </w:tc>
        <w:tc>
          <w:tcPr/>
          <w:p>
            <w:pPr>
              <w:pStyle w:val="Compact"/>
            </w:pPr>
            <w:r>
              <w:t xml:space="preserve">$216,000</w:t>
            </w:r>
          </w:p>
        </w:tc>
      </w:tr>
      <w:tr>
        <w:tc>
          <w:tcPr/>
          <w:p>
            <w:pPr>
              <w:pStyle w:val="Compact"/>
            </w:pPr>
            <w:r>
              <w:t xml:space="preserve">Total PV of lost annual depreciation value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$1,233,000</w:t>
            </w:r>
          </w:p>
        </w:tc>
      </w:tr>
    </w:tbl>
    <w:p>
      <w:pPr>
        <w:pStyle w:val="BodyText"/>
      </w:pPr>
      <w:r>
        <w:t xml:space="preserve">The final number, approximately $1,233,000, is already the present value of the lost annual depreciation value. It is the sum of the discounted annual amounts. It should not be discounted a second time.</w:t>
      </w:r>
    </w:p>
    <w:p>
      <w:pPr>
        <w:pStyle w:val="BodyText"/>
      </w:pPr>
      <w:r>
        <w:t xml:space="preserve">Under the modeling constants above, recapture is treated as $0 — either because the property is held long-term or because any near-term sale would be handled through a §1031 exchange. Therefore, the annual depreciation value is the only tax component included in this example.</w:t>
      </w:r>
    </w:p>
    <w:p>
      <w:pPr>
        <w:pStyle w:val="BlockText"/>
      </w:pPr>
      <w:r>
        <w:t xml:space="preserve">Basis True-Up owed to Partner B ≈ $1,233,000, paid by Partner A</w:t>
      </w:r>
    </w:p>
    <w:p>
      <w:pPr>
        <w:pStyle w:val="FirstParagraph"/>
      </w:pPr>
      <w:r>
        <w:t xml:space="preserve">Note on the figures. These numbers are examples only. The actual Basis True-Up should be calculated from the real depreciation schedule for each property. The actual components, remaining lives, annual deductions, tax rate, and discount rate may change the result. The purpose of the example is to show the method: value each annual lost depreciation benefit separately, discount each one to today, and add them together.</w:t>
      </w:r>
    </w:p>
    <w:bookmarkEnd w:id="31"/>
    <w:bookmarkStart w:id="32" w:name="X10901be3cb7f8e58a66cc361e81a15419e210ea"/>
    <w:p>
      <w:pPr>
        <w:pStyle w:val="Heading2"/>
      </w:pPr>
      <w:r>
        <w:t xml:space="preserve">11.3 Measuring the Shortfall</w:t>
      </w:r>
    </w:p>
    <w:p>
      <w:pPr>
        <w:pStyle w:val="Compact"/>
        <w:numPr>
          <w:ilvl w:val="0"/>
          <w:numId w:val="1011"/>
        </w:numPr>
      </w:pPr>
      <w:r>
        <w:t xml:space="preserve">Target basis means each partner’s fair share of the total remaining tax basis, based on his ownership percentage.</w:t>
      </w:r>
    </w:p>
    <w:p>
      <w:pPr>
        <w:pStyle w:val="Compact"/>
        <w:numPr>
          <w:ilvl w:val="0"/>
          <w:numId w:val="1011"/>
        </w:numPr>
      </w:pPr>
      <w:r>
        <w:t xml:space="preserve">Shortfall means the difference between that fair share and the tax basis the partner actually receives with his properties.</w:t>
      </w:r>
    </w:p>
    <w:p>
      <w:pPr>
        <w:pStyle w:val="BlockText"/>
      </w:pPr>
      <w:r>
        <w:t xml:space="preserve">Basis Shortfall = (Total Basis × Ownership %) − Actual Basis Received</w:t>
      </w:r>
    </w:p>
    <w:p>
      <w:pPr>
        <w:pStyle w:val="FirstParagraph"/>
      </w:pPr>
      <w:r>
        <w:t xml:space="preserve">A positive number means that partner is under-allocated and is owed compensation; a negative number means he received more than his share and owes the offset.</w:t>
      </w:r>
    </w:p>
    <w:bookmarkEnd w:id="32"/>
    <w:bookmarkStart w:id="33" w:name="X0b60326e650c962dc1a270b0058d56456630491"/>
    <w:p>
      <w:pPr>
        <w:pStyle w:val="Heading2"/>
      </w:pPr>
      <w:r>
        <w:t xml:space="preserve">11.4 Valuing the Shortfall</w:t>
      </w:r>
    </w:p>
    <w:p>
      <w:pPr>
        <w:pStyle w:val="FirstParagraph"/>
      </w:pPr>
      <w:r>
        <w:t xml:space="preserve">The shortfall converts to a dollar compensation figure through two components:</w:t>
      </w:r>
    </w:p>
    <w:p>
      <w:pPr>
        <w:pStyle w:val="BodyText"/>
      </w:pPr>
      <w:r>
        <w:t xml:space="preserve">• Depreciation shield (forward-looking). Means the tax savings the partner loses because he receives less tax basis. The lost deductions are spread over the remaining depreciation period and converted into today’s dollars using the standard discount rate.</w:t>
      </w:r>
    </w:p>
    <w:p>
      <w:pPr>
        <w:pStyle w:val="BodyText"/>
      </w:pPr>
      <w:r>
        <w:t xml:space="preserve">• Recapture exposure (backward-looking). Means the extra tax a partner may owe when he sells later because he received less tax basis. If the sale happens soon, the tax impact can be meaningful; if the sale happens many years later, the value of that future tax cost becomes much smaller.</w:t>
      </w:r>
    </w:p>
    <w:p>
      <w:pPr>
        <w:pStyle w:val="BlockText"/>
      </w:pPr>
      <w:r>
        <w:t xml:space="preserve">Why recapture is treated as $0 here. This model assumes either a long-term hold or a 1031 exchange. A long-term hold pushes the tax far into the future, making its present value much smaller. A 1031 exchange delays the tax instead of eliminating it; the low basis carries into the new property. If the partner sells without a 1031 exchange, the recapture tax may become due right away.</w:t>
      </w:r>
    </w:p>
    <w:p>
      <w:pPr>
        <w:pStyle w:val="FirstParagraph"/>
      </w:pPr>
      <w:r>
        <w:t xml:space="preserve">Depreciation Shield is therefore the only component that produces a nonzero Basis True-Up under this model.</w:t>
      </w:r>
    </w:p>
    <w:p>
      <w:pPr>
        <w:pStyle w:val="BlockText"/>
      </w:pPr>
      <w:r>
        <w:t xml:space="preserve">Basis True-Up ($) = PV (Depreciation Shield) [Recapture Exposure ≈ $0 — long-term hold or §1031 exchange]</w:t>
      </w:r>
    </w:p>
    <w:bookmarkEnd w:id="33"/>
    <w:bookmarkStart w:id="34" w:name="X1f66205858864bef8311efc2230a56e672484f4"/>
    <w:p>
      <w:pPr>
        <w:pStyle w:val="Heading2"/>
      </w:pPr>
      <w:r>
        <w:t xml:space="preserve">11.5 Where It Fits in the Settlement</w:t>
      </w:r>
    </w:p>
    <w:p>
      <w:pPr>
        <w:pStyle w:val="FirstParagraph"/>
      </w:pPr>
      <w:r>
        <w:t xml:space="preserve">The Basis True-Up is not a separate payment. It is one more line item in the final settlement calculation. Unlike the value calculation, it is based on each property’s remaining tax basis, not its current market value.</w:t>
      </w:r>
    </w:p>
    <w:p>
      <w:pPr>
        <w:pStyle w:val="BodyText"/>
      </w:pPr>
      <w:r>
        <w:t xml:space="preserve">It is paid directly from one partner to the other, not through a shared settlement account. The 60/40 ratio was already used to set each partner’s target basis. Splitting the shortfall again by percentage would apply the ratio twice and underpay the partner who is short.</w:t>
      </w:r>
    </w:p>
    <w:p>
      <w:pPr>
        <w:pStyle w:val="BlockText"/>
      </w:pPr>
      <w:r>
        <w:t xml:space="preserve">One more adjustment, not a new process This does not change who gets each property. It simply adds one more adjustment to the final settlement calculation so that value, debt, cash flow, and tax basis are all considered.</w:t>
      </w:r>
    </w:p>
    <w:bookmarkEnd w:id="34"/>
    <w:bookmarkEnd w:id="35"/>
    <w:bookmarkStart w:id="40" w:name="Xcb4cbcb3aba627c08def766372c3ddfc82fd74e"/>
    <w:p>
      <w:pPr>
        <w:pStyle w:val="Heading1"/>
      </w:pPr>
      <w:r>
        <w:t xml:space="preserve">12. Handling the Winning Bid Correctly (if used)</w:t>
      </w:r>
    </w:p>
    <w:p>
      <w:pPr>
        <w:pStyle w:val="FirstParagraph"/>
      </w:pPr>
      <w:r>
        <w:t xml:space="preserve">The final settlement calculation usually starts with the agreed value of each property. But under Method 3 or Method 4, the winning bid may be higher or lower than that agreed value. This section explains how to measure that difference and how to include it in the final settlement.</w:t>
      </w:r>
    </w:p>
    <w:bookmarkStart w:id="36" w:name="X32f1351d23ffed3090a008ec4cb2be5075d3470"/>
    <w:p>
      <w:pPr>
        <w:pStyle w:val="Heading2"/>
      </w:pPr>
      <w:r>
        <w:t xml:space="preserve">12.1 Two Reasons a Bid Can Differ from Agreed Value</w:t>
      </w:r>
    </w:p>
    <w:p>
      <w:pPr>
        <w:pStyle w:val="FirstParagraph"/>
      </w:pPr>
      <w:r>
        <w:t xml:space="preserve">Before deciding whether to split the difference between a bid and the agreed value, first ask why they are different. Only one of the two situations below requires a shared adjustment.</w:t>
      </w:r>
    </w:p>
    <w:p>
      <w:pPr>
        <w:pStyle w:val="BodyText"/>
      </w:pPr>
      <w:r>
        <w:t xml:space="preserve">• An extra amount paid because of preference. One partner may be willing to pay more than the agreed value because he wants the property more. Or he may be willing to accept less because he wants the property less. In this case, the extra value belongs to the whole estate, not only to the partner who wanted the property more. This is the same idea behind the surplus in Method 4.</w:t>
      </w:r>
    </w:p>
    <w:p>
      <w:pPr>
        <w:pStyle w:val="BodyText"/>
      </w:pPr>
      <w:r>
        <w:t xml:space="preserve">• Better information. Sometimes the bid is different because the agreed value was outdated or wrong, not because one partner wants the property more. In that case, there is no extra value to split. The agreed value should simply be updated, and no separate settlement adjustment is needed.</w:t>
      </w:r>
    </w:p>
    <w:bookmarkEnd w:id="36"/>
    <w:bookmarkStart w:id="37" w:name="Xf8e91dee6961a29e51b6dd9ff763406f1095661"/>
    <w:p>
      <w:pPr>
        <w:pStyle w:val="Heading2"/>
      </w:pPr>
      <w:r>
        <w:t xml:space="preserve">12.2 The Bid Difference</w:t>
      </w:r>
    </w:p>
    <w:p>
      <w:pPr>
        <w:pStyle w:val="FirstParagraph"/>
      </w:pPr>
      <w:r>
        <w:t xml:space="preserve">Bid Difference. Means the difference between the winning bid and the property’s agreed value. It is shown separately as either a positive or negative number. It does not change the property’s regular equity value.</w:t>
      </w:r>
    </w:p>
    <w:p>
      <w:pPr>
        <w:pStyle w:val="BlockText"/>
      </w:pPr>
      <w:r>
        <w:t xml:space="preserve">Bid Difference = Winning Bid − Agreed Value</w:t>
      </w:r>
    </w:p>
    <w:p>
      <w:pPr>
        <w:pStyle w:val="FirstParagraph"/>
      </w:pPr>
      <w:r>
        <w:t xml:space="preserve">The property is still counted at its agreed value when calculating each partner’s equity. The winning bid does not replace that value. Instead, the Bid Difference is handled as a separate cash adjustment in the final settlement calculation.</w:t>
      </w:r>
    </w:p>
    <w:bookmarkEnd w:id="37"/>
    <w:bookmarkStart w:id="38" w:name="Xb56dd5291e7d7049d93c4ba7c5a527455c9e840"/>
    <w:p>
      <w:pPr>
        <w:pStyle w:val="Heading2"/>
      </w:pPr>
      <w:r>
        <w:t xml:space="preserve">12.3 Positive and Negative Differences</w:t>
      </w:r>
    </w:p>
    <w:p>
      <w:pPr>
        <w:pStyle w:val="FirstParagraph"/>
      </w:pPr>
      <w:r>
        <w:t xml:space="preserve">• Positive. The winner bid more than the agreed value to get the property. That extra amount is added to the shared settlement account and then split 60/40, just like the surplus in the sealed-bid method.</w:t>
      </w:r>
    </w:p>
    <w:p>
      <w:pPr>
        <w:pStyle w:val="BodyText"/>
      </w:pPr>
      <w:r>
        <w:t xml:space="preserve">• Negative. The winner bid less than the agreed value. This may happen if neither partner wanted the property very much, or if the agreed value was too high. In that case, the difference is subtracted from the shared settlement account. The property is still counted at its agreed value, but the winning bid was lower, so the difference must be covered in the final settlement.</w:t>
      </w:r>
    </w:p>
    <w:p>
      <w:pPr>
        <w:pStyle w:val="BodyText"/>
      </w:pPr>
      <w:r>
        <w:t xml:space="preserve">The same rule applies in both cases. The only difference is whether money is added to or subtracted from the shared settlement account. If several bid differences are negative, the account can become negative before the 60/40 split is applied. That simply means both partners may have to contribute cash. It is not an error in the model.</w:t>
      </w:r>
    </w:p>
    <w:bookmarkEnd w:id="38"/>
    <w:bookmarkStart w:id="39" w:name="X11b59820a11dd58386136eb4907ae4025361d0d"/>
    <w:p>
      <w:pPr>
        <w:pStyle w:val="Heading2"/>
      </w:pPr>
      <w:r>
        <w:t xml:space="preserve">12.4 Where It Fits in the Settlement</w:t>
      </w:r>
    </w:p>
    <w:p>
      <w:pPr>
        <w:pStyle w:val="FirstParagraph"/>
      </w:pPr>
      <w:r>
        <w:t xml:space="preserve">The Bid Difference is part of the final settlement calculation. It is not part of the property valuation table in Section 10. It is added to or subtracted from the shared settlement account and then split 60/40, like the surplus in the sealed-bid method.</w:t>
      </w:r>
    </w:p>
    <w:p>
      <w:pPr>
        <w:pStyle w:val="BlockText"/>
      </w:pPr>
      <w:r>
        <w:t xml:space="preserve">One more adjustment, not a new process. This does not change who gets each property under Method 3 or Method 4. It simply adds one cash adjustment to the final settlement calculation, so a bid above or below the agreed value is handled clearly instead of being ignored or mixed into the equity calculation.</w:t>
      </w:r>
    </w:p>
    <w:bookmarkEnd w:id="39"/>
    <w:bookmarkEnd w:id="40"/>
    <w:bookmarkStart w:id="41" w:name="X114b09f1c56c28c7fa67194f22b66b5491a7bd4"/>
    <w:p>
      <w:pPr>
        <w:pStyle w:val="Heading1"/>
      </w:pPr>
      <w:r>
        <w:t xml:space="preserve">13. Handling Cash Reserves Correctly</w:t>
      </w:r>
    </w:p>
    <w:p>
      <w:pPr>
        <w:pStyle w:val="FirstParagraph"/>
      </w:pPr>
      <w:r>
        <w:t xml:space="preserve">Available cash and cash equivalents should be handled as part of the final settlement, not distributed separately at the beginning. Cash is placed into the shared settlement account and used to reduce the amount of outside cash either partner must contribute. After all property allocations, Debt NPV, Basis True-Up, and Bid Difference adjustments are calculated, any remaining cash balance is divided according to the 60/40 ownership split. This keeps the cash treatment consistent with the overall settlement arithmetic and prevents either partner from receiving cash twice.</w:t>
      </w:r>
    </w:p>
    <w:bookmarkEnd w:id="41"/>
    <w:bookmarkStart w:id="44" w:name="Xeb1e13bf8db8e24ccb1d1f6dabc332dfc26b47b"/>
    <w:p>
      <w:pPr>
        <w:pStyle w:val="Heading1"/>
      </w:pPr>
      <w:r>
        <w:t xml:space="preserve">14. How the Settlement Works</w:t>
      </w:r>
    </w:p>
    <w:p>
      <w:pPr>
        <w:pStyle w:val="FirstParagraph"/>
      </w:pPr>
      <w:r>
        <w:t xml:space="preserve">Sections 10, 11, and 12 each define one adjustment in isolation. They all end up in the same place: a single calculation that reports how much cash changes hands. This section collects them.</w:t>
      </w:r>
    </w:p>
    <w:p>
      <w:pPr>
        <w:pStyle w:val="BlockText"/>
      </w:pPr>
      <w:r>
        <w:t xml:space="preserve">A calculation, not a stop sign. Every property goes to the highest bidder, even if that partner ends up above his target share. The 60/40 split is fixed later with cash, not by stopping someone during the selection process.</w:t>
      </w:r>
    </w:p>
    <w:p>
      <w:pPr>
        <w:pStyle w:val="BlockText"/>
      </w:pPr>
      <w:r>
        <w:t xml:space="preserve">If the 40% partner wins more than $34M of value, that does not mean he must stop. It means he must pay cash to bring the final result back to 60/40. The settlement calculation tells you how much cash must change hands; it does not decide when a partner must stop winning properties.</w:t>
      </w:r>
    </w:p>
    <w:bookmarkStart w:id="42" w:name="Xeba3d301f7a8035af7c68243b1d983179c3b426"/>
    <w:p>
      <w:pPr>
        <w:pStyle w:val="Heading2"/>
      </w:pPr>
      <w:r>
        <w:t xml:space="preserve">14.1 How NPV, Tax Basis and Bid Difference True-up compare</w:t>
      </w:r>
    </w:p>
    <w:p>
      <w:pPr>
        <w:pStyle w:val="FirstParagraph"/>
      </w:pPr>
      <w:r>
        <w:t xml:space="preserve">The settlement starts from NPV Equity — each property's agreed value minus its Debt NPV (Section 10.2). Bids are measured against that same base, so the benefit of a below-market loan is counted once, in the valuation, and not a second time in the bid.</w:t>
      </w:r>
    </w:p>
    <w:p>
      <w:pPr>
        <w:pStyle w:val="BodyText"/>
      </w:pPr>
      <w:r>
        <w:t xml:space="preserve">Settlement gaps are calculated as target minus actual so that a positive amount means the partner is owed cash and a negative amount means the partner owes cash.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Adjustment</w:t>
            </w:r>
          </w:p>
        </w:tc>
        <w:tc>
          <w:tcPr/>
          <w:p>
            <w:pPr>
              <w:pStyle w:val="Compact"/>
            </w:pPr>
            <w:r>
              <w:t xml:space="preserve">Mechanism</w:t>
            </w:r>
          </w:p>
        </w:tc>
        <w:tc>
          <w:tcPr/>
          <w:p>
            <w:pPr>
              <w:pStyle w:val="Compact"/>
            </w:pPr>
            <w:r>
              <w:t xml:space="preserve">Net effect</w:t>
            </w:r>
          </w:p>
        </w:tc>
        <w:tc>
          <w:tcPr/>
          <w:p>
            <w:pPr>
              <w:pStyle w:val="Compact"/>
            </w:pPr>
            <w:r>
              <w:t xml:space="preserve">Tool Gap Calculation</w:t>
            </w:r>
          </w:p>
        </w:tc>
      </w:tr>
      <w:tr>
        <w:tc>
          <w:tcPr/>
          <w:p>
            <w:pPr>
              <w:pStyle w:val="Compact"/>
            </w:pPr>
            <w:r>
              <w:t xml:space="preserve">Debt NPV</w:t>
            </w:r>
          </w:p>
        </w:tc>
        <w:tc>
          <w:tcPr/>
          <w:p>
            <w:pPr>
              <w:pStyle w:val="Compact"/>
            </w:pPr>
            <w:r>
              <w:t xml:space="preserve">Changes the equity figure</w:t>
            </w:r>
          </w:p>
        </w:tc>
        <w:tc>
          <w:tcPr/>
          <w:p>
            <w:pPr>
              <w:pStyle w:val="Compact"/>
            </w:pPr>
            <w:r>
              <w:t xml:space="preserve">Shared 60/40 — automatically</w:t>
            </w:r>
          </w:p>
        </w:tc>
        <w:tc>
          <w:tcPr/>
          <w:p>
            <w:pPr>
              <w:pStyle w:val="Compact"/>
            </w:pPr>
            <w:r>
              <w:t xml:space="preserve">Target NPV Equity − Actual NPV Equity. Positive means the partner is owed cash; Negative means the partner owes cash.</w:t>
            </w:r>
          </w:p>
        </w:tc>
      </w:tr>
      <w:tr>
        <w:tc>
          <w:tcPr/>
          <w:p>
            <w:pPr>
              <w:pStyle w:val="Compact"/>
            </w:pPr>
            <w:r>
              <w:t xml:space="preserve">Basis True-Up</w:t>
            </w:r>
          </w:p>
        </w:tc>
        <w:tc>
          <w:tcPr/>
          <w:p>
            <w:pPr>
              <w:pStyle w:val="Compact"/>
            </w:pPr>
            <w:r>
              <w:t xml:space="preserve">Cash, partner to partner</w:t>
            </w:r>
          </w:p>
        </w:tc>
        <w:tc>
          <w:tcPr/>
          <w:p>
            <w:pPr>
              <w:pStyle w:val="Compact"/>
            </w:pPr>
            <w:r>
              <w:t xml:space="preserve">100% to the shorted partner</w:t>
            </w:r>
          </w:p>
        </w:tc>
        <w:tc>
          <w:tcPr/>
          <w:p>
            <w:pPr>
              <w:pStyle w:val="Compact"/>
            </w:pPr>
            <w:r>
              <w:t xml:space="preserve">Target remaining tax basis − Actual remaining tax basis. The resulting basis shortfall is converted to the present value of the lost depreciation benefit.</w:t>
            </w:r>
            <w:r>
              <w:t xml:space="preserve">Positive means the partner is owed compensation.</w:t>
            </w:r>
          </w:p>
        </w:tc>
      </w:tr>
      <w:tr>
        <w:tc>
          <w:tcPr/>
          <w:p>
            <w:pPr>
              <w:pStyle w:val="Compact"/>
            </w:pPr>
            <w:r>
              <w:t xml:space="preserve">Bid Difference</w:t>
            </w:r>
          </w:p>
        </w:tc>
        <w:tc>
          <w:tcPr/>
          <w:p>
            <w:pPr>
              <w:pStyle w:val="Compact"/>
            </w:pPr>
            <w:r>
              <w:t xml:space="preserve">Cash, through the shared account</w:t>
            </w:r>
          </w:p>
        </w:tc>
        <w:tc>
          <w:tcPr/>
          <w:p>
            <w:pPr>
              <w:pStyle w:val="Compact"/>
            </w:pPr>
            <w:r>
              <w:t xml:space="preserve">Shared 60/40 — explicitly</w:t>
            </w:r>
          </w:p>
        </w:tc>
        <w:tc>
          <w:tcPr/>
          <w:p>
            <w:pPr>
              <w:pStyle w:val="Compact"/>
            </w:pPr>
            <w:r>
              <w:t xml:space="preserve">Partner’s ownership share of the total Bid Difference − Bid Difference assigned to the partner.</w:t>
            </w:r>
            <w:r>
              <w:t xml:space="preserve">Positive means the partner is owed cash; Negative means the partner owes cash.</w:t>
            </w:r>
          </w:p>
        </w:tc>
      </w:tr>
      <w:tr>
        <w:tc>
          <w:tcPr/>
          <w:p>
            <w:pPr>
              <w:pStyle w:val="Compact"/>
            </w:pPr>
            <w:r>
              <w:t xml:space="preserve">Available cash funds</w:t>
            </w:r>
          </w:p>
        </w:tc>
        <w:tc>
          <w:tcPr/>
          <w:p>
            <w:pPr>
              <w:pStyle w:val="Compact"/>
            </w:pPr>
            <w:r>
              <w:t xml:space="preserve">Cash, through the shared account</w:t>
            </w:r>
          </w:p>
        </w:tc>
        <w:tc>
          <w:tcPr/>
          <w:p>
            <w:pPr>
              <w:pStyle w:val="Compact"/>
            </w:pPr>
            <w:r>
              <w:t xml:space="preserve">Shared 60/40 — explicitly</w:t>
            </w:r>
          </w:p>
        </w:tc>
        <w:tc>
          <w:tcPr/>
          <w:p>
            <w:pPr>
              <w:pStyle w:val="Compact"/>
            </w:pPr>
            <w:r>
              <w:t xml:space="preserve">Partner’s ownership share of available cash − Cash allocated to the partner.</w:t>
            </w:r>
            <w:r>
              <w:t xml:space="preserve">Positive means the partner is owed cash; Negative means the partner received excess cash.</w:t>
            </w:r>
          </w:p>
        </w:tc>
      </w:tr>
    </w:tbl>
    <w:bookmarkEnd w:id="42"/>
    <w:bookmarkStart w:id="43" w:name="Xfd5d2e76a6ca598137881e778d221cf04638d94"/>
    <w:p>
      <w:pPr>
        <w:pStyle w:val="Heading2"/>
      </w:pPr>
      <w:r>
        <w:t xml:space="preserve">14.2 When the cash payment is too large</w:t>
      </w:r>
    </w:p>
    <w:p>
      <w:pPr>
        <w:pStyle w:val="FirstParagraph"/>
      </w:pPr>
      <w:r>
        <w:t xml:space="preserve">The settlement calculation may require a partner, usually the 40% partner, to make a cash payment that is larger than the cash he has available. That does not mean the split is unfair. It means he received valuable property but may not have enough cash to make the equalizing payment.</w:t>
      </w:r>
    </w:p>
    <w:p>
      <w:pPr>
        <w:pStyle w:val="BodyText"/>
      </w:pPr>
      <w:r>
        <w:t xml:space="preserve">The process should not stop just because the cash payment is hard to fund. The payment can be funded by refinancing the properties received, using a seller note, selling one property, or, as a last resort, selling disputed assets and dividing the proceeds.</w:t>
      </w:r>
    </w:p>
    <w:p>
      <w:pPr>
        <w:pStyle w:val="BodyText"/>
      </w:pPr>
      <w:r>
        <w:t xml:space="preserve">The options below are listed from least disruptive to most disruptive:</w:t>
      </w:r>
    </w:p>
    <w:p>
      <w:pPr>
        <w:pStyle w:val="Compact"/>
        <w:numPr>
          <w:ilvl w:val="0"/>
          <w:numId w:val="1012"/>
        </w:numPr>
      </w:pPr>
      <w:r>
        <w:t xml:space="preserve">Reallocate at the margin. Give back the properties he barely outbid the other partner on. Start with the properties where the winning bid was only slightly higher than the other bid. Keep reassigning those properties until the required cash payment becomes manageable.</w:t>
      </w:r>
    </w:p>
    <w:p>
      <w:pPr>
        <w:pStyle w:val="Compact"/>
        <w:numPr>
          <w:ilvl w:val="0"/>
          <w:numId w:val="1012"/>
        </w:numPr>
      </w:pPr>
      <w:r>
        <w:t xml:space="preserve">Seller carry-back note. The other partner accepts a note instead of receiving all cash immediately. The note is secured by the properties received and paid over time from the income those properties produce. This keeps the property split intact, but it leaves the partners connected as borrower and lender until the note is paid off.</w:t>
      </w:r>
    </w:p>
    <w:p>
      <w:pPr>
        <w:pStyle w:val="Compact"/>
        <w:numPr>
          <w:ilvl w:val="0"/>
          <w:numId w:val="1012"/>
        </w:numPr>
      </w:pPr>
      <w:r>
        <w:t xml:space="preserve">Sell a won asset. Sell one of the properties the partner received and use the sale proceeds to make the cash payment. This solves the funding problem, but it may create taxes, closing costs, and market timing risk.</w:t>
      </w:r>
    </w:p>
    <w:p>
      <w:pPr>
        <w:pStyle w:val="Compact"/>
        <w:numPr>
          <w:ilvl w:val="0"/>
          <w:numId w:val="1012"/>
        </w:numPr>
      </w:pPr>
      <w:r>
        <w:t xml:space="preserve">Use broader financing. Instead of borrowing against only one property, the partner may be able to borrow against several properties together or against a property with no debt. This may allow more cash to be raised than a single-property loan.</w:t>
      </w:r>
    </w:p>
    <w:p>
      <w:pPr>
        <w:pStyle w:val="Compact"/>
        <w:numPr>
          <w:ilvl w:val="0"/>
          <w:numId w:val="1012"/>
        </w:numPr>
      </w:pPr>
      <w:r>
        <w:t xml:space="preserve">Last resort; partition sale. As a last resort, sell the disputed properties and divide the sale proceeds 60/40. Cash is easy to divide, so this option always works, but it is the most disruptive.</w:t>
      </w:r>
    </w:p>
    <w:p>
      <w:pPr>
        <w:pStyle w:val="BlockText"/>
      </w:pPr>
      <w:r>
        <w:t xml:space="preserve">Prevent the problem before it happens. Instead of assigning every property to the highest bidder no matter what, the model can include a funding limit. That means a partner can only win properties if he can also afford the required cash payment.</w:t>
      </w:r>
    </w:p>
    <w:p>
      <w:pPr>
        <w:pStyle w:val="BlockText"/>
      </w:pPr>
      <w:r>
        <w:t xml:space="preserve">If the 40% partner wins too much property and cannot fund the payment, the model can automatically move some properties to the other partner or place them in a sale group. That is not unfair. It simply means the partner wanted more property than his cash capacity could support.</w:t>
      </w:r>
    </w:p>
    <w:bookmarkEnd w:id="43"/>
    <w:bookmarkEnd w:id="44"/>
    <w:bookmarkStart w:id="45" w:name="X7a34d60a145ac1d3838b8ad064dc2f3aac1af03"/>
    <w:p>
      <w:pPr>
        <w:pStyle w:val="Heading1"/>
      </w:pPr>
      <w:r>
        <w:t xml:space="preserve">15. Choosing Among the Methods</w:t>
      </w:r>
    </w:p>
    <w:p>
      <w:pPr>
        <w:pStyle w:val="FirstParagraph"/>
      </w:pPr>
      <w:r>
        <w:t xml:space="preserve">Every method uses cash to fix any final imbalance. The table below shows what each method is best at, so the partners can choose intentionally.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Preference Drafts (1 &amp; 2)</w:t>
            </w:r>
          </w:p>
        </w:tc>
        <w:tc>
          <w:tcPr/>
          <w:p>
            <w:pPr>
              <w:pStyle w:val="Compact"/>
            </w:pPr>
            <w:r>
              <w:t xml:space="preserve">Bid Methods (3 &amp; 4)</w:t>
            </w:r>
          </w:p>
        </w:tc>
        <w:tc>
          <w:tcPr/>
          <w:p>
            <w:pPr>
              <w:pStyle w:val="Compact"/>
            </w:pPr>
            <w:r>
              <w:t xml:space="preserve">Proportional (5)</w:t>
            </w:r>
          </w:p>
        </w:tc>
      </w:tr>
      <w:tr>
        <w:tc>
          <w:tcPr/>
          <w:p>
            <w:pPr>
              <w:pStyle w:val="Compact"/>
            </w:pPr>
            <w:r>
              <w:t xml:space="preserve">How fairness is decided</w:t>
            </w:r>
          </w:p>
        </w:tc>
        <w:tc>
          <w:tcPr/>
          <w:p>
            <w:pPr>
              <w:pStyle w:val="Compact"/>
            </w:pPr>
            <w:r>
              <w:t xml:space="preserve">By turn / by luck</w:t>
            </w:r>
          </w:p>
        </w:tc>
        <w:tc>
          <w:tcPr/>
          <w:p>
            <w:pPr>
              <w:pStyle w:val="Compact"/>
            </w:pPr>
            <w:r>
              <w:t xml:space="preserve">By preference</w:t>
            </w:r>
          </w:p>
        </w:tc>
        <w:tc>
          <w:tcPr/>
          <w:p>
            <w:pPr>
              <w:pStyle w:val="Compact"/>
            </w:pPr>
            <w:r>
              <w:t xml:space="preserve">By symmetry</w:t>
            </w:r>
          </w:p>
        </w:tc>
      </w:tr>
      <w:tr>
        <w:tc>
          <w:tcPr/>
          <w:p>
            <w:pPr>
              <w:pStyle w:val="Compact"/>
            </w:pPr>
            <w:r>
              <w:t xml:space="preserve">Measures how much each partner wants the property?</w:t>
            </w:r>
          </w:p>
        </w:tc>
        <w:tc>
          <w:tcPr/>
          <w:p>
            <w:pPr>
              <w:pStyle w:val="Compact"/>
            </w:pPr>
            <w:r>
              <w:t xml:space="preserve">No</w:t>
            </w:r>
          </w:p>
        </w:tc>
        <w:tc>
          <w:tcPr/>
          <w:p>
            <w:pPr>
              <w:pStyle w:val="Compact"/>
            </w:pPr>
            <w:r>
              <w:t xml:space="preserve">Yes (partly in 3, fully in 4)</w:t>
            </w:r>
          </w:p>
        </w:tc>
        <w:tc>
          <w:tcPr/>
          <w:p>
            <w:pPr>
              <w:pStyle w:val="Compact"/>
            </w:pPr>
            <w:r>
              <w:t xml:space="preserve">No</w:t>
            </w:r>
          </w:p>
        </w:tc>
      </w:tr>
      <w:tr>
        <w:tc>
          <w:tcPr/>
          <w:p>
            <w:pPr>
              <w:pStyle w:val="Compact"/>
            </w:pPr>
            <w:r>
              <w:t xml:space="preserve">Captures extra value from stronger preferences?</w:t>
            </w:r>
          </w:p>
        </w:tc>
        <w:tc>
          <w:tcPr/>
          <w:p>
            <w:pPr>
              <w:pStyle w:val="Compact"/>
            </w:pPr>
            <w:r>
              <w:t xml:space="preserve">No</w:t>
            </w:r>
          </w:p>
        </w:tc>
        <w:tc>
          <w:tcPr/>
          <w:p>
            <w:pPr>
              <w:pStyle w:val="Compact"/>
            </w:pPr>
            <w:r>
              <w:t xml:space="preserve">Yes</w:t>
            </w:r>
          </w:p>
        </w:tc>
        <w:tc>
          <w:tcPr/>
          <w:p>
            <w:pPr>
              <w:pStyle w:val="Compact"/>
            </w:pPr>
            <w:r>
              <w:t xml:space="preserve">No — traded for balance</w:t>
            </w:r>
          </w:p>
        </w:tc>
      </w:tr>
      <w:tr>
        <w:tc>
          <w:tcPr/>
          <w:p>
            <w:pPr>
              <w:pStyle w:val="Compact"/>
            </w:pPr>
            <w:r>
              <w:t xml:space="preserve">Keeps cash flow close to 60/40?</w:t>
            </w:r>
          </w:p>
        </w:tc>
        <w:tc>
          <w:tcPr/>
          <w:p>
            <w:pPr>
              <w:pStyle w:val="Compact"/>
            </w:pPr>
            <w:r>
              <w:t xml:space="preserve">Not targeted</w:t>
            </w:r>
          </w:p>
        </w:tc>
        <w:tc>
          <w:tcPr/>
          <w:p>
            <w:pPr>
              <w:pStyle w:val="Compact"/>
            </w:pPr>
            <w:r>
              <w:t xml:space="preserve">Not guaranteed</w:t>
            </w:r>
          </w:p>
        </w:tc>
        <w:tc>
          <w:tcPr/>
          <w:p>
            <w:pPr>
              <w:pStyle w:val="Compact"/>
            </w:pPr>
            <w:r>
              <w:t xml:space="preserve">Targeted directly</w:t>
            </w:r>
          </w:p>
        </w:tc>
      </w:tr>
      <w:tr>
        <w:tc>
          <w:tcPr/>
          <w:p>
            <w:pPr>
              <w:pStyle w:val="Compact"/>
            </w:pPr>
            <w:r>
              <w:t xml:space="preserve">Any remaining shared ownership?</w:t>
            </w:r>
          </w:p>
        </w:tc>
        <w:tc>
          <w:tcPr/>
          <w:p>
            <w:pPr>
              <w:pStyle w:val="Compact"/>
            </w:pPr>
            <w:r>
              <w:t xml:space="preserve">None</w:t>
            </w:r>
          </w:p>
        </w:tc>
        <w:tc>
          <w:tcPr/>
          <w:p>
            <w:pPr>
              <w:pStyle w:val="Compact"/>
            </w:pPr>
            <w:r>
              <w:t xml:space="preserve">None</w:t>
            </w:r>
          </w:p>
        </w:tc>
        <w:tc>
          <w:tcPr/>
          <w:p>
            <w:pPr>
              <w:pStyle w:val="Compact"/>
            </w:pPr>
            <w:r>
              <w:t xml:space="preserve">None (TIC ruled out)</w:t>
            </w:r>
          </w:p>
        </w:tc>
      </w:tr>
      <w:tr>
        <w:tc>
          <w:tcPr/>
          <w:p>
            <w:pPr>
              <w:pStyle w:val="Compact"/>
            </w:pPr>
            <w:r>
              <w:t xml:space="preserve">Main risk</w:t>
            </w:r>
          </w:p>
        </w:tc>
        <w:tc>
          <w:tcPr/>
          <w:p>
            <w:pPr>
              <w:pStyle w:val="Compact"/>
            </w:pPr>
            <w:r>
              <w:t xml:space="preserve">Luck; large cash true-up</w:t>
            </w:r>
          </w:p>
        </w:tc>
        <w:tc>
          <w:tcPr/>
          <w:p>
            <w:pPr>
              <w:pStyle w:val="Compact"/>
            </w:pPr>
            <w:r>
              <w:t xml:space="preserve">Manipulation; funding</w:t>
            </w:r>
          </w:p>
        </w:tc>
        <w:tc>
          <w:tcPr/>
          <w:p>
            <w:pPr>
              <w:pStyle w:val="Compact"/>
            </w:pPr>
            <w:r>
              <w:t xml:space="preserve">Too many targets; one number must be flexible</w:t>
            </w:r>
          </w:p>
        </w:tc>
      </w:tr>
      <w:tr>
        <w:tc>
          <w:tcPr/>
          <w:p>
            <w:pPr>
              <w:pStyle w:val="Compact"/>
            </w:pPr>
            <w:r>
              <w:t xml:space="preserve">Best when</w:t>
            </w:r>
          </w:p>
        </w:tc>
        <w:tc>
          <w:tcPr/>
          <w:p>
            <w:pPr>
              <w:pStyle w:val="Compact"/>
            </w:pPr>
            <w:r>
              <w:t xml:space="preserve">Speed &amp; simplicity matter</w:t>
            </w:r>
          </w:p>
        </w:tc>
        <w:tc>
          <w:tcPr/>
          <w:p>
            <w:pPr>
              <w:pStyle w:val="Compact"/>
            </w:pPr>
            <w:r>
              <w:t xml:space="preserve">Partners value assets differently</w:t>
            </w:r>
          </w:p>
        </w:tc>
        <w:tc>
          <w:tcPr/>
          <w:p>
            <w:pPr>
              <w:pStyle w:val="Compact"/>
            </w:pPr>
            <w:r>
              <w:t xml:space="preserve">Partners want balanced results more than preference</w:t>
            </w:r>
          </w:p>
        </w:tc>
      </w:tr>
    </w:tbl>
    <w:p>
      <w:pPr>
        <w:pStyle w:val="BlockText"/>
      </w:pPr>
      <w:r>
        <w:t xml:space="preserve">The basic trade-off is this: the sealed-bid method lets the partner who wants a property more win it, but requires cash to balance the result. The proportional method focuses more on giving each partner a balanced package. Neither approach is wrong. The partners are choosing between preference and balance.</w:t>
      </w:r>
    </w:p>
    <w:bookmarkEnd w:id="45"/>
    <w:bookmarkStart w:id="46" w:name="X3091cd74b6489e436edcf1dbd3911721cd0ade6"/>
    <w:p>
      <w:pPr>
        <w:pStyle w:val="Heading1"/>
      </w:pPr>
      <w:r>
        <w:t xml:space="preserve">16. Implementation Notes &amp; Caveats</w:t>
      </w:r>
    </w:p>
    <w:p>
      <w:pPr>
        <w:pStyle w:val="Compact"/>
        <w:numPr>
          <w:ilvl w:val="0"/>
          <w:numId w:val="1013"/>
        </w:numPr>
      </w:pPr>
      <w:r>
        <w:t xml:space="preserve">Run bids sealed and simultaneous. Give all bids to a neutral person, who opens them at the same time. This prevents one partner from seeing or guessing the other partner’s bid before submitting his own.</w:t>
      </w:r>
    </w:p>
    <w:p>
      <w:pPr>
        <w:pStyle w:val="Compact"/>
        <w:numPr>
          <w:ilvl w:val="0"/>
          <w:numId w:val="1013"/>
        </w:numPr>
      </w:pPr>
      <w:r>
        <w:t xml:space="preserve">Work in equity. Use net equity, not gross property value. Each loan should stay with its property, but only if the lender agrees in writing to transfer the loan and release the prior guarantor.</w:t>
      </w:r>
    </w:p>
    <w:p>
      <w:pPr>
        <w:pStyle w:val="Compact"/>
        <w:numPr>
          <w:ilvl w:val="0"/>
          <w:numId w:val="1013"/>
        </w:numPr>
      </w:pPr>
      <w:r>
        <w:t xml:space="preserve">Confirm tax basis and recapture exposure. Confirm the tax basis for every property before finalizing the split. If one partner receives less tax basis than his share, or if a near-term sale creates tax recapture, the settlement may need a tax adjustment.</w:t>
      </w:r>
    </w:p>
    <w:p>
      <w:pPr>
        <w:pStyle w:val="Compact"/>
        <w:numPr>
          <w:ilvl w:val="0"/>
          <w:numId w:val="1013"/>
        </w:numPr>
      </w:pPr>
      <w:r>
        <w:t xml:space="preserve">Apply a final fairness check. Ask whether each partner believes his final package is fair after considering the 60/40 ownership split, the properties received, debt, cash flow, tax basis, and any cash settlement. The goal is not that both packages look identical, but that each partner can understand and accept the result as fair.</w:t>
      </w:r>
    </w:p>
    <w:p>
      <w:pPr>
        <w:pStyle w:val="Compact"/>
        <w:numPr>
          <w:ilvl w:val="0"/>
          <w:numId w:val="1013"/>
        </w:numPr>
      </w:pPr>
      <w:r>
        <w:t xml:space="preserve">Model it before executing. Run the numbers before signing anything. The model should assign properties, compare each partner’s result to the 60/40 target, calculate the cash payment, and show the different methods side by side.</w:t>
      </w:r>
      <w:r>
        <w:t xml:space="preserve"> </w:t>
      </w:r>
      <w:r>
        <w:t xml:space="preserve">Attachment A – Knaster Tool: Knaster Interactive Tool PDF.pdf</w:t>
      </w:r>
    </w:p>
    <w:p>
      <w:pPr>
        <w:pStyle w:val="FirstParagraph"/>
      </w:pPr>
      <w:r>
        <w:t xml:space="preserve">Attachment B – Proportional Division Across Value, Debt, and Cash Flow Tool:</w:t>
      </w:r>
    </w:p>
    <w:p>
      <w:pPr>
        <w:pStyle w:val="BodyText"/>
      </w:pPr>
      <w:r>
        <w:t xml:space="preserve">Important note. This white paper is for discussion and planning only. It is not legal, tax, or financial advice. Any division, refinancing, property transfer, or sale may have legal, lender, and tax consequences. Before taking action, the partners should consult qualified real estate counsel, lenders, and tax advisors.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2026-09-22T18:04:42Z</dcterms:created>
  <dcterms:modified xsi:type="dcterms:W3CDTF">2026-09-22T18:04:42Z</dcterms:modified>
</cp:coreProperties>
</file>

<file path=docProps/custom.xml><?xml version="1.0" encoding="utf-8"?>
<Properties xmlns="http://schemas.openxmlformats.org/officeDocument/2006/custom-properties" xmlns:vt="http://schemas.openxmlformats.org/officeDocument/2006/docPropsVTypes"/>
</file>