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EE4" w:rsidP="2AEFA6E2" w:rsidRDefault="76FDEFCD" w14:paraId="343A668C" w14:textId="14FAA7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pacing w:after="80"/>
      </w:pPr>
      <w:r w:rsidRPr="2AEFA6E2">
        <w:rPr>
          <w:rFonts w:ascii="Calibri" w:hAnsi="Calibri" w:eastAsia="Calibri" w:cs="Calibri"/>
          <w:b/>
          <w:bCs/>
          <w:color w:val="1A2540"/>
          <w:sz w:val="28"/>
          <w:szCs w:val="28"/>
        </w:rPr>
        <w:t>RE Partition Tool — Field Reference</w:t>
      </w:r>
      <w:r w:rsidRPr="2AEFA6E2" w:rsidR="524B0F1F">
        <w:rPr>
          <w:rFonts w:ascii="Calibri" w:hAnsi="Calibri" w:eastAsia="Calibri" w:cs="Calibri"/>
          <w:b/>
          <w:bCs/>
          <w:color w:val="1A2540"/>
          <w:sz w:val="28"/>
          <w:szCs w:val="28"/>
        </w:rPr>
        <w:t xml:space="preserve"> V1.1</w:t>
      </w:r>
    </w:p>
    <w:p w:rsidR="00752EE4" w:rsidRDefault="00711ECC" w14:paraId="425B1643" w14:textId="77777777">
      <w:pPr>
        <w:spacing w:after="200"/>
      </w:pPr>
      <w:r>
        <w:rPr>
          <w:rFonts w:ascii="Calibri" w:hAnsi="Calibri" w:eastAsia="Calibri" w:cs="Calibri"/>
          <w:color w:val="666666"/>
        </w:rPr>
        <w:t>Every field the tool uses, its source, and the formula applied — v7.2</w:t>
      </w:r>
    </w:p>
    <w:p w:rsidR="00752EE4" w:rsidRDefault="6FDACA47" w14:paraId="3C5EB730" w14:textId="77777777">
      <w:pPr>
        <w:spacing w:before="160" w:after="200"/>
      </w:pPr>
      <w:r w:rsidRPr="6FDACA47">
        <w:rPr>
          <w:rFonts w:ascii="Calibri" w:hAnsi="Calibri" w:eastAsia="Calibri" w:cs="Calibri"/>
          <w:b/>
          <w:bCs/>
          <w:color w:val="222222"/>
          <w:sz w:val="18"/>
          <w:szCs w:val="18"/>
        </w:rPr>
        <w:t xml:space="preserve">Source key:  </w:t>
      </w:r>
      <w:r w:rsidRPr="6FDACA47">
        <w:rPr>
          <w:rFonts w:ascii="Calibri" w:hAnsi="Calibri" w:eastAsia="Calibri" w:cs="Calibri"/>
          <w:b/>
          <w:bCs/>
          <w:color w:val="C8541A"/>
          <w:sz w:val="18"/>
          <w:szCs w:val="18"/>
        </w:rPr>
        <w:t>↑ Uploaded</w:t>
      </w:r>
      <w:r w:rsidRPr="6FDACA47">
        <w:rPr>
          <w:rFonts w:ascii="Calibri" w:hAnsi="Calibri" w:eastAsia="Calibri" w:cs="Calibri"/>
          <w:color w:val="444444"/>
          <w:sz w:val="18"/>
          <w:szCs w:val="18"/>
        </w:rPr>
        <w:t xml:space="preserve"> = value comes from the Excel import table.  Calculated = derived by the tool from uploaded values.  Tool input = entered by the user in the tool interface, not imported.</w:t>
      </w:r>
    </w:p>
    <w:tbl>
      <w:tblPr>
        <w:tblW w:w="140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1296"/>
        <w:gridCol w:w="1560"/>
        <w:gridCol w:w="1175"/>
        <w:gridCol w:w="1301"/>
        <w:gridCol w:w="898"/>
        <w:gridCol w:w="2645"/>
        <w:gridCol w:w="4497"/>
      </w:tblGrid>
      <w:tr w:rsidR="00FE352F" w:rsidTr="3A9FB775" w14:paraId="11B89127" w14:textId="77777777">
        <w:trPr>
          <w:tblHeader/>
        </w:trPr>
        <w:tc>
          <w:tcPr>
            <w:tcW w:w="658" w:type="dxa"/>
            <w:shd w:val="clear" w:color="auto" w:fill="1A2540"/>
            <w:tcMar/>
          </w:tcPr>
          <w:p w:rsidR="00FE352F" w:rsidP="002654EA" w:rsidRDefault="00FE352F" w14:paraId="03B7A3DE" w14:textId="77777777">
            <w:pPr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2856" w:type="dxa"/>
            <w:gridSpan w:val="2"/>
            <w:shd w:val="clear" w:color="auto" w:fill="1A254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4DE3DC5E" w14:textId="789B9532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175" w:type="dxa"/>
            <w:shd w:val="clear" w:color="auto" w:fill="1A2540"/>
            <w:tcMar/>
          </w:tcPr>
          <w:p w:rsidR="00FE352F" w:rsidRDefault="00FE352F" w14:paraId="35975AB8" w14:textId="092B61B7">
            <w:pP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Reference Name</w:t>
            </w:r>
          </w:p>
        </w:tc>
        <w:tc>
          <w:tcPr>
            <w:tcW w:w="1301" w:type="dxa"/>
            <w:shd w:val="clear" w:color="auto" w:fill="1A254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67D63D4F" w14:textId="73FFC0E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898" w:type="dxa"/>
            <w:shd w:val="clear" w:color="auto" w:fill="1A2540"/>
            <w:tcMar/>
          </w:tcPr>
          <w:p w:rsidR="00FE352F" w:rsidP="00EC5DC1" w:rsidRDefault="00FE352F" w14:paraId="4EFCA741" w14:textId="13C8D011">
            <w:pPr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Modifiable In Tool</w:t>
            </w:r>
          </w:p>
        </w:tc>
        <w:tc>
          <w:tcPr>
            <w:tcW w:w="7142" w:type="dxa"/>
            <w:gridSpan w:val="2"/>
            <w:shd w:val="clear" w:color="auto" w:fill="1A254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0E3EFBAC" w14:textId="49C2BDE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Formula / Notes</w:t>
            </w:r>
          </w:p>
        </w:tc>
      </w:tr>
      <w:tr w:rsidRPr="00A5068B" w:rsidR="00FE352F" w:rsidTr="3A9FB775" w14:paraId="280E793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6E7" w:themeFill="accent1" w:themeFillTint="66"/>
            <w:tcMar/>
          </w:tcPr>
          <w:p w:rsidRPr="00A5068B" w:rsidR="00FE352F" w:rsidP="00B56307" w:rsidRDefault="00FE352F" w14:paraId="324E6C66" w14:textId="356F588E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A</w:t>
            </w:r>
          </w:p>
        </w:tc>
        <w:tc>
          <w:tcPr>
            <w:tcW w:w="28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A5068B" w:rsidR="00FE352F" w:rsidP="00A721FE" w:rsidRDefault="00FE352F" w14:paraId="05A15D19" w14:textId="466DE44B">
            <w:pP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GLOBAL INFORMATION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6E7" w:themeFill="accent1" w:themeFillTint="66"/>
            <w:tcMar/>
          </w:tcPr>
          <w:p w:rsidRPr="00A5068B" w:rsidR="00FE352F" w:rsidP="00B56307" w:rsidRDefault="00FE352F" w14:paraId="4B2367D2" w14:textId="77777777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A5068B" w:rsidR="00FE352F" w:rsidP="00B56307" w:rsidRDefault="00FE352F" w14:paraId="1A7D4BF8" w14:textId="477E161E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6E7" w:themeFill="accent1" w:themeFillTint="66"/>
            <w:tcMar/>
          </w:tcPr>
          <w:p w:rsidRPr="00A5068B" w:rsidR="00FE352F" w:rsidP="00EC5DC1" w:rsidRDefault="00FE352F" w14:paraId="305F3681" w14:textId="77777777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</w:p>
        </w:tc>
        <w:tc>
          <w:tcPr>
            <w:tcW w:w="71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A5068B" w:rsidR="00FE352F" w:rsidP="00B56307" w:rsidRDefault="00FE352F" w14:paraId="53D8324C" w14:textId="12ADCB5C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</w:p>
        </w:tc>
      </w:tr>
      <w:tr w:rsidR="00FE352F" w:rsidTr="3A9FB775" w14:paraId="3C46594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none" w:color="auto" w:sz="0"/>
              <w:left w:val="none" w:color="auto" w:sz="0"/>
              <w:bottom w:val="single" w:color="auto" w:sz="4" w:space="0"/>
              <w:right w:val="none" w:color="auto" w:sz="0"/>
            </w:tcBorders>
            <w:shd w:val="clear" w:color="auto" w:fill="C8541A"/>
            <w:tcMar/>
          </w:tcPr>
          <w:p w:rsidR="00FE352F" w:rsidP="002654EA" w:rsidRDefault="00FE352F" w14:paraId="061B06C9" w14:textId="57342CD0">
            <w:pPr>
              <w:jc w:val="center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1</w:t>
            </w:r>
          </w:p>
        </w:tc>
        <w:tc>
          <w:tcPr>
            <w:tcW w:w="2856" w:type="dxa"/>
            <w:gridSpan w:val="2"/>
            <w:tcBorders>
              <w:top w:val="none" w:color="auto" w:sz="0"/>
              <w:left w:val="none" w:color="auto" w:sz="0"/>
              <w:bottom w:val="single" w:color="auto" w:sz="4" w:space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RDefault="00FE352F" w14:paraId="0CE9C333" w14:textId="3AB2BFFF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A.  PROPERTY IDENTIFICATION</w:t>
            </w:r>
          </w:p>
        </w:tc>
        <w:tc>
          <w:tcPr>
            <w:tcW w:w="1175" w:type="dxa"/>
            <w:tcBorders>
              <w:top w:val="none" w:color="auto" w:sz="0"/>
              <w:left w:val="none" w:color="auto" w:sz="0"/>
              <w:bottom w:val="single" w:color="auto" w:sz="4" w:space="0"/>
              <w:right w:val="none" w:color="auto" w:sz="0"/>
            </w:tcBorders>
            <w:shd w:val="clear" w:color="auto" w:fill="C8541A"/>
            <w:tcMar/>
          </w:tcPr>
          <w:p w:rsidR="00FE352F" w:rsidRDefault="00FE352F" w14:paraId="0573FA22" w14:textId="77777777"/>
        </w:tc>
        <w:tc>
          <w:tcPr>
            <w:tcW w:w="1301" w:type="dxa"/>
            <w:tcBorders>
              <w:top w:val="none" w:color="auto" w:sz="0"/>
              <w:left w:val="none" w:color="auto" w:sz="0"/>
              <w:bottom w:val="single" w:color="auto" w:sz="4" w:space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RDefault="00FE352F" w14:paraId="7EF2270F" w14:textId="33600386"/>
        </w:tc>
        <w:tc>
          <w:tcPr>
            <w:tcW w:w="898" w:type="dxa"/>
            <w:tcBorders>
              <w:top w:val="none" w:color="auto" w:sz="0"/>
              <w:left w:val="none" w:color="auto" w:sz="0"/>
              <w:bottom w:val="single" w:color="auto" w:sz="4" w:space="0"/>
              <w:right w:val="none" w:color="auto" w:sz="0"/>
            </w:tcBorders>
            <w:shd w:val="clear" w:color="auto" w:fill="C8541A"/>
            <w:tcMar/>
          </w:tcPr>
          <w:p w:rsidR="00FE352F" w:rsidP="00EC5DC1" w:rsidRDefault="00FE352F" w14:paraId="11B12CE8" w14:textId="77777777">
            <w:pPr>
              <w:jc w:val="center"/>
            </w:pPr>
          </w:p>
        </w:tc>
        <w:tc>
          <w:tcPr>
            <w:tcW w:w="7142" w:type="dxa"/>
            <w:gridSpan w:val="2"/>
            <w:tcBorders>
              <w:top w:val="none" w:color="auto" w:sz="0"/>
              <w:left w:val="none" w:color="auto" w:sz="0"/>
              <w:bottom w:val="single" w:color="auto" w:sz="4" w:space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RDefault="00FE352F" w14:paraId="2AD158BF" w14:textId="67F0887E"/>
        </w:tc>
      </w:tr>
      <w:tr w:rsidR="00FE352F" w:rsidTr="3A9FB775" w14:paraId="6BC8F1F7" w14:textId="77777777">
        <w:tc>
          <w:tcPr>
            <w:tcW w:w="658" w:type="dxa"/>
            <w:tcBorders>
              <w:top w:val="single" w:color="auto" w:sz="4" w:space="0"/>
            </w:tcBorders>
            <w:shd w:val="clear" w:color="auto" w:fill="F2F2F0"/>
            <w:tcMar/>
          </w:tcPr>
          <w:p w:rsidR="00FE352F" w:rsidP="002654EA" w:rsidRDefault="00FE352F" w14:paraId="7D80D755" w14:textId="54AC2E2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</w:t>
            </w:r>
          </w:p>
        </w:tc>
        <w:tc>
          <w:tcPr>
            <w:tcW w:w="2856" w:type="dxa"/>
            <w:gridSpan w:val="2"/>
            <w:tcBorders>
              <w:top w:val="single" w:color="auto" w:sz="4" w:space="0"/>
            </w:tcBorders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6C5BD2" w:rsidRDefault="00FE352F" w14:paraId="259CD38F" w14:textId="3A931B0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Name</w:t>
            </w:r>
          </w:p>
        </w:tc>
        <w:tc>
          <w:tcPr>
            <w:tcW w:w="1175" w:type="dxa"/>
            <w:tcBorders>
              <w:top w:val="single" w:color="auto" w:sz="4" w:space="0"/>
            </w:tcBorders>
            <w:shd w:val="clear" w:color="auto" w:fill="F2F2F0"/>
            <w:tcMar/>
          </w:tcPr>
          <w:p w:rsidR="00FE352F" w:rsidRDefault="00FE352F" w14:paraId="3DE57331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color="auto" w:sz="4" w:space="0"/>
            </w:tcBorders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0F6C442F" w14:textId="6910A060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tcBorders>
              <w:top w:val="single" w:color="auto" w:sz="4" w:space="0"/>
            </w:tcBorders>
            <w:shd w:val="clear" w:color="auto" w:fill="F2F2F0"/>
            <w:tcMar/>
          </w:tcPr>
          <w:p w:rsidR="00FE352F" w:rsidP="00EC5DC1" w:rsidRDefault="00FE352F" w14:paraId="074EDEA2" w14:textId="146B87C7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tcBorders>
              <w:top w:val="single" w:color="auto" w:sz="4" w:space="0"/>
            </w:tcBorders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47AB8177" w14:textId="61D36ECF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Property name or address. Used as the display label throughout the tool.</w:t>
            </w:r>
          </w:p>
        </w:tc>
      </w:tr>
      <w:tr w:rsidR="00FE352F" w:rsidTr="3A9FB775" w14:paraId="796F54C3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2654EA" w:rsidRDefault="00FE352F" w14:paraId="20489A1B" w14:textId="4F1D438D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6C5BD2" w:rsidRDefault="00FE352F" w14:paraId="4E0B3859" w14:textId="491AF2A3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Assign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RDefault="00FE352F" w14:paraId="4FBF03CC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2BBAD4BF" w14:textId="185A0002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3615D0F7" w14:textId="77777777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2C8B538C" w14:textId="468D4ED3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"a" or "b" — which partner receives this property. Controls partner panel totals and proportionality meters.</w:t>
            </w:r>
          </w:p>
        </w:tc>
      </w:tr>
      <w:tr w:rsidR="00FE352F" w:rsidTr="3A9FB775" w14:paraId="35B83FA2" w14:textId="77777777">
        <w:tc>
          <w:tcPr>
            <w:tcW w:w="658" w:type="dxa"/>
            <w:shd w:val="clear" w:color="auto" w:fill="FFFFFF" w:themeFill="background1"/>
            <w:tcMar/>
          </w:tcPr>
          <w:p w:rsidRPr="001F3F20" w:rsidR="00FE352F" w:rsidP="001F3F20" w:rsidRDefault="00FE352F" w14:paraId="04604C41" w14:textId="04E042BD">
            <w:pPr>
              <w:jc w:val="center"/>
              <w:rPr>
                <w:rFonts w:ascii="Calibri" w:hAnsi="Calibri" w:eastAsia="Calibri" w:cs="Calibri"/>
                <w:color w:val="1A2540"/>
                <w:kern w:val="2"/>
                <w:sz w:val="18"/>
                <w:szCs w:val="18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1A2540"/>
                <w:sz w:val="18"/>
                <w:szCs w:val="18"/>
              </w:rPr>
              <w:t>4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42938" w:rsidR="00FE352F" w:rsidP="00584356" w:rsidRDefault="00FE352F" w14:paraId="7D5A1CD2" w14:textId="667A9C51">
            <w:pPr>
              <w:rPr>
                <w:rFonts w:ascii="Calibri" w:hAnsi="Calibri" w:cs="Calibri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Market Discount Rate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584356" w:rsidRDefault="00FE352F" w14:paraId="5303A6BC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584356" w:rsidRDefault="00FE352F" w14:paraId="0510A1DF" w14:textId="563BE66C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Tool input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47B8187C" w14:textId="7C448813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6FDACA47" w:rsidR="00FE352F" w:rsidP="00584356" w:rsidRDefault="00FE352F" w14:paraId="6A1EABF8" w14:textId="749D0AE6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Set once in the tool header. Applied to every property's loan to compute Debt NPV. Represents today's market rate for comparable debt.</w:t>
            </w:r>
          </w:p>
        </w:tc>
      </w:tr>
      <w:tr w:rsidR="00FE352F" w:rsidTr="3A9FB775" w14:paraId="44D150FC" w14:textId="77777777">
        <w:tc>
          <w:tcPr>
            <w:tcW w:w="658" w:type="dxa"/>
            <w:shd w:val="clear" w:color="auto" w:fill="FFFFFF" w:themeFill="background1"/>
            <w:tcMar/>
          </w:tcPr>
          <w:p w:rsidRPr="001F3F20" w:rsidR="00FE352F" w:rsidP="001F3F20" w:rsidRDefault="00FE352F" w14:paraId="7730FB2F" w14:textId="46FA4B04">
            <w:pPr>
              <w:jc w:val="center"/>
              <w:rPr>
                <w:rFonts w:ascii="Calibri" w:hAnsi="Calibri" w:eastAsia="Calibri" w:cs="Calibri"/>
                <w:color w:val="1A2540"/>
                <w:kern w:val="2"/>
                <w:sz w:val="18"/>
                <w:szCs w:val="18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1A2540"/>
                <w:sz w:val="18"/>
                <w:szCs w:val="18"/>
              </w:rPr>
              <w:t>5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584356" w:rsidRDefault="00FE352F" w14:paraId="2D21369B" w14:textId="1B5F63D0">
            <w:pP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Cash &amp; Cash Equivalents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584356" w:rsidRDefault="00FE352F" w14:paraId="753B1E54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584356" w:rsidRDefault="00FE352F" w14:paraId="6E38ADF3" w14:textId="5D3C8159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1F2E76F5" w14:textId="6C25363D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6FDACA47" w:rsidR="00FE352F" w:rsidP="00584356" w:rsidRDefault="00FE352F" w14:paraId="0F7634B9" w14:textId="0846CCE1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30DB2AAB" w14:textId="77777777">
        <w:tc>
          <w:tcPr>
            <w:tcW w:w="658" w:type="dxa"/>
            <w:shd w:val="clear" w:color="auto" w:fill="B4C6E7" w:themeFill="accent1" w:themeFillTint="66"/>
            <w:tcMar/>
          </w:tcPr>
          <w:p w:rsidR="00FE352F" w:rsidP="00584356" w:rsidRDefault="00FE352F" w14:paraId="5C213501" w14:textId="0C5BB58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6</w:t>
            </w:r>
          </w:p>
        </w:tc>
        <w:tc>
          <w:tcPr>
            <w:tcW w:w="2856" w:type="dxa"/>
            <w:gridSpan w:val="2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584356" w:rsidRDefault="00FE352F" w14:paraId="00FB463A" w14:textId="0E1610D8">
            <w:pP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PROPERTY CARD</w:t>
            </w:r>
          </w:p>
        </w:tc>
        <w:tc>
          <w:tcPr>
            <w:tcW w:w="1175" w:type="dxa"/>
            <w:shd w:val="clear" w:color="auto" w:fill="B4C6E7" w:themeFill="accent1" w:themeFillTint="66"/>
            <w:tcMar/>
          </w:tcPr>
          <w:p w:rsidR="00FE352F" w:rsidP="00584356" w:rsidRDefault="00FE352F" w14:paraId="4F80B4E1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584356" w:rsidRDefault="00FE352F" w14:paraId="42C1D0E6" w14:textId="21297BD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B4C6E7" w:themeFill="accent1" w:themeFillTint="66"/>
            <w:tcMar/>
          </w:tcPr>
          <w:p w:rsidRPr="6FDACA47" w:rsidR="00FE352F" w:rsidP="00EC5DC1" w:rsidRDefault="00FE352F" w14:paraId="59C14487" w14:textId="77777777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  <w:tc>
          <w:tcPr>
            <w:tcW w:w="7142" w:type="dxa"/>
            <w:gridSpan w:val="2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6FDACA47" w:rsidR="00FE352F" w:rsidP="00584356" w:rsidRDefault="00FE352F" w14:paraId="2077D961" w14:textId="065DDBAE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043C38A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2654EA" w:rsidRDefault="00FE352F" w14:paraId="74303AE4" w14:textId="43F21BDF">
            <w:pPr>
              <w:jc w:val="center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7</w:t>
            </w:r>
          </w:p>
        </w:tc>
        <w:tc>
          <w:tcPr>
            <w:tcW w:w="2856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RDefault="00FE352F" w14:paraId="0CD52D37" w14:textId="17D067D9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B. PROPERTY</w:t>
            </w:r>
          </w:p>
        </w:tc>
        <w:tc>
          <w:tcPr>
            <w:tcW w:w="1175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RDefault="00FE352F" w14:paraId="722BBFDB" w14:textId="77777777"/>
        </w:tc>
        <w:tc>
          <w:tcPr>
            <w:tcW w:w="1301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RDefault="00FE352F" w14:paraId="693458EA" w14:textId="46E59FAE"/>
        </w:tc>
        <w:tc>
          <w:tcPr>
            <w:tcW w:w="89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EC5DC1" w:rsidRDefault="00FE352F" w14:paraId="50C46BE2" w14:textId="77777777">
            <w:pPr>
              <w:jc w:val="center"/>
            </w:pPr>
          </w:p>
        </w:tc>
        <w:tc>
          <w:tcPr>
            <w:tcW w:w="7142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RDefault="00FE352F" w14:paraId="18440338" w14:textId="0EB1A99C"/>
        </w:tc>
      </w:tr>
      <w:tr w:rsidR="00FE352F" w:rsidTr="3A9FB775" w14:paraId="1740E7E9" w14:textId="77777777">
        <w:tc>
          <w:tcPr>
            <w:tcW w:w="658" w:type="dxa"/>
            <w:shd w:val="clear" w:color="auto" w:fill="F2F2F0"/>
            <w:tcMar/>
          </w:tcPr>
          <w:p w:rsidRPr="6FDACA47" w:rsidR="00FE352F" w:rsidP="002654EA" w:rsidRDefault="00FE352F" w14:paraId="5634E9BB" w14:textId="15B87CC2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8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6C5BD2" w:rsidRDefault="00FE352F" w14:paraId="60C8D9D8" w14:textId="60E4EA4E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Market Value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RDefault="00FE352F" w14:paraId="0ECC3110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12303F59" w14:textId="2131CE83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50049869" w14:textId="6A9EAD61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41C8AFC8" w14:textId="4337D574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Agreed appraised market value of the property in dollars. The primary valuation input.</w:t>
            </w:r>
          </w:p>
        </w:tc>
      </w:tr>
      <w:tr w:rsidR="00FE352F" w:rsidTr="3A9FB775" w14:paraId="15D58FAD" w14:textId="77777777">
        <w:tc>
          <w:tcPr>
            <w:tcW w:w="658" w:type="dxa"/>
            <w:shd w:val="clear" w:color="auto" w:fill="F2F2F0"/>
            <w:tcMar/>
          </w:tcPr>
          <w:p w:rsidR="00FE352F" w:rsidP="00C905AC" w:rsidRDefault="00FE352F" w14:paraId="5F448767" w14:textId="6196D506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9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30B53CE" w14:textId="4667234C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Bid Difference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C905AC" w:rsidRDefault="00FE352F" w14:paraId="6F3A9C18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49AFA6D" w14:textId="74AB6B2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Tool input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5FCE231B" w14:textId="646E5FBE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0885F35B" w14:textId="5E9A4822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Winning bid − agreed market value. Positive means the winner bid above market value to secure the property; negative means the winner bid below. Shown as a separate cash adjustment in the settlement ledger and split 60/40 through the shared pot. Does not change the property's NPV Equity figure.</w:t>
            </w:r>
          </w:p>
        </w:tc>
      </w:tr>
      <w:tr w:rsidR="00FE352F" w:rsidTr="3A9FB775" w14:paraId="01649CBD" w14:textId="77777777">
        <w:tc>
          <w:tcPr>
            <w:tcW w:w="658" w:type="dxa"/>
            <w:shd w:val="clear" w:color="auto" w:fill="FFFFFF" w:themeFill="background1"/>
            <w:tcMar/>
          </w:tcPr>
          <w:p w:rsidRPr="6FDACA47" w:rsidR="00FE352F" w:rsidP="002654EA" w:rsidRDefault="00FE352F" w14:paraId="0C625E46" w14:textId="60937EF8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10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6C5BD2" w:rsidRDefault="00FE352F" w14:paraId="13334263" w14:textId="0DB27AA5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Deferred CapEx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RDefault="00FE352F" w14:paraId="174BBC0A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0AA41692" w14:textId="36A94869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4F859B9D" w14:textId="795BDF60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1294DD05" w14:textId="24864EB1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Deferred capital expenditures in dollars — known repairs or replacements not yet funded.</w:t>
            </w:r>
          </w:p>
        </w:tc>
      </w:tr>
      <w:tr w:rsidR="00FE352F" w:rsidTr="3A9FB775" w14:paraId="57BF83A1" w14:textId="77777777">
        <w:tc>
          <w:tcPr>
            <w:tcW w:w="658" w:type="dxa"/>
            <w:shd w:val="clear" w:color="auto" w:fill="FFFFFF" w:themeFill="background1"/>
            <w:tcMar/>
          </w:tcPr>
          <w:p w:rsidRPr="6FDACA47" w:rsidR="00FE352F" w:rsidP="00B56307" w:rsidRDefault="00FE352F" w14:paraId="5C422EB1" w14:textId="233720C6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11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720613BD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NOI / yr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4FC4EDD6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E3038E3" w14:textId="0808AC41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64DCAD76" w14:textId="54956088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B0346CA" w14:textId="1A3B0287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Net Operating Income per year in dollars — rental income minus operating expenses, before any debt service.</w:t>
            </w:r>
          </w:p>
        </w:tc>
      </w:tr>
      <w:tr w:rsidR="00FE352F" w:rsidTr="3A9FB775" w14:paraId="53F3C805" w14:textId="77777777">
        <w:tc>
          <w:tcPr>
            <w:tcW w:w="658" w:type="dxa"/>
            <w:shd w:val="clear" w:color="auto" w:fill="FFFFFF" w:themeFill="background1"/>
            <w:tcMar/>
          </w:tcPr>
          <w:p w:rsidRPr="6FDACA47" w:rsidR="00FE352F" w:rsidP="00B56307" w:rsidRDefault="00FE352F" w14:paraId="75270B9F" w14:textId="7ED32FC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12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75F5D74F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Occupancy Actual %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1426892B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351D7F9" w14:textId="5D2FF713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40DEF823" w14:textId="01A52896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5D7696A" w14:textId="2D701B95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Current actual vacancy as a percentage (e.g. 8.5 for 8.5%). Reflects today's occupancy reality.</w:t>
            </w:r>
          </w:p>
        </w:tc>
      </w:tr>
      <w:tr w:rsidR="00FE352F" w:rsidTr="3A9FB775" w14:paraId="7D5988D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2A23E87C" w14:textId="108C027B">
            <w:pPr>
              <w:jc w:val="center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13</w:t>
            </w:r>
          </w:p>
        </w:tc>
        <w:tc>
          <w:tcPr>
            <w:tcW w:w="2856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3E9AB7EF" w14:textId="30399C73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C.  LOAN</w:t>
            </w:r>
          </w:p>
        </w:tc>
        <w:tc>
          <w:tcPr>
            <w:tcW w:w="1175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63CB68CC" w14:textId="77777777"/>
        </w:tc>
        <w:tc>
          <w:tcPr>
            <w:tcW w:w="1301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508F3253" w14:textId="082DE589"/>
        </w:tc>
        <w:tc>
          <w:tcPr>
            <w:tcW w:w="89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EC5DC1" w:rsidRDefault="00FE352F" w14:paraId="467F24EC" w14:textId="77777777">
            <w:pPr>
              <w:jc w:val="center"/>
            </w:pPr>
          </w:p>
        </w:tc>
        <w:tc>
          <w:tcPr>
            <w:tcW w:w="7142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208A8693" w14:textId="5BD6476E"/>
        </w:tc>
      </w:tr>
      <w:tr w:rsidR="00FE352F" w:rsidTr="3A9FB775" w14:paraId="464BE7F5" w14:textId="77777777">
        <w:tc>
          <w:tcPr>
            <w:tcW w:w="658" w:type="dxa"/>
            <w:shd w:val="clear" w:color="auto" w:fill="F2F2F0"/>
            <w:tcMar/>
          </w:tcPr>
          <w:p w:rsidRPr="6FDACA47" w:rsidR="00FE352F" w:rsidP="00B56307" w:rsidRDefault="00FE352F" w14:paraId="5D48201F" w14:textId="6D4908E7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14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33052B3E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Loan Balance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506E5428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858A52A" w14:textId="49EE2781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78FED65A" w14:textId="3812BA8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BC52C94" w14:textId="62A542C1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Outstanding principal balance of the mortgage in dollars.</w:t>
            </w:r>
          </w:p>
        </w:tc>
      </w:tr>
      <w:tr w:rsidR="00FE352F" w:rsidTr="3A9FB775" w14:paraId="1B69FE69" w14:textId="77777777">
        <w:tc>
          <w:tcPr>
            <w:tcW w:w="658" w:type="dxa"/>
            <w:shd w:val="clear" w:color="auto" w:fill="FFFFFF" w:themeFill="background1"/>
            <w:tcMar/>
          </w:tcPr>
          <w:p w:rsidRPr="6FDACA47" w:rsidR="00FE352F" w:rsidP="00B56307" w:rsidRDefault="00FE352F" w14:paraId="7B21C4E4" w14:textId="39C43677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15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598B501E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Interest Rate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3684B559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08D8150" w14:textId="09B66D1D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6C2C261E" w14:textId="418B14E1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FA6C1E9" w14:textId="395E27DD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Note interest rate as a percentage (e.g. 5.75 for 5.75%).</w:t>
            </w:r>
          </w:p>
        </w:tc>
      </w:tr>
      <w:tr w:rsidR="00FE352F" w:rsidTr="3A9FB775" w14:paraId="6877666D" w14:textId="77777777">
        <w:tc>
          <w:tcPr>
            <w:tcW w:w="658" w:type="dxa"/>
            <w:shd w:val="clear" w:color="auto" w:fill="F2F2F0"/>
            <w:tcMar/>
          </w:tcPr>
          <w:p w:rsidRPr="6FDACA47" w:rsidR="00FE352F" w:rsidP="00B56307" w:rsidRDefault="00FE352F" w14:paraId="4C51B1CC" w14:textId="04DC148D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16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751ECD07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Amort. Period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0FDAA197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9AC714A" w14:textId="7C2418DC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0C30363D" w14:textId="0FACCB64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7830584" w14:textId="65CD3326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Full amortization period in years — the schedule that drives the monthly payment size. Typically 30.</w:t>
            </w:r>
          </w:p>
        </w:tc>
      </w:tr>
      <w:tr w:rsidR="00FE352F" w:rsidTr="3A9FB775" w14:paraId="6767720C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23C2EA6E" w14:textId="3245CA8A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17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7A848D1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LTV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20241371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DFE3F02" w14:textId="17DD4EC8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56A386AD" w14:textId="73037206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DC41BB2" w14:textId="5A465123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loan_balance ÷ market_value, expressed as a percentage. Displayed on the property card for reference.</w:t>
            </w:r>
          </w:p>
        </w:tc>
      </w:tr>
      <w:tr w:rsidR="00FE352F" w:rsidTr="3A9FB775" w14:paraId="3BD947D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6AD8F818" w14:textId="225E0967">
            <w:pPr>
              <w:jc w:val="center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18</w:t>
            </w:r>
          </w:p>
        </w:tc>
        <w:tc>
          <w:tcPr>
            <w:tcW w:w="2856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20B2AA2E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D.  PRINCIPLAN AND INTEREST</w:t>
            </w:r>
          </w:p>
        </w:tc>
        <w:tc>
          <w:tcPr>
            <w:tcW w:w="1175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5AF810B1" w14:textId="77777777"/>
        </w:tc>
        <w:tc>
          <w:tcPr>
            <w:tcW w:w="1301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01376B20" w14:textId="6C6E351A"/>
        </w:tc>
        <w:tc>
          <w:tcPr>
            <w:tcW w:w="89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EC5DC1" w:rsidRDefault="00FE352F" w14:paraId="52BD183D" w14:textId="77777777">
            <w:pPr>
              <w:jc w:val="center"/>
            </w:pPr>
          </w:p>
        </w:tc>
        <w:tc>
          <w:tcPr>
            <w:tcW w:w="7142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461557E2" w14:textId="35387A6B"/>
        </w:tc>
      </w:tr>
      <w:tr w:rsidR="00FE352F" w:rsidTr="3A9FB775" w14:paraId="0A46C36D" w14:textId="77777777">
        <w:tc>
          <w:tcPr>
            <w:tcW w:w="658" w:type="dxa"/>
            <w:shd w:val="clear" w:color="auto" w:fill="FFFFFF" w:themeFill="background1"/>
            <w:tcMar/>
          </w:tcPr>
          <w:p w:rsidRPr="6FDACA47" w:rsidR="00FE352F" w:rsidP="00B56307" w:rsidRDefault="00FE352F" w14:paraId="19A657D4" w14:textId="438B4FBB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19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1D842D7E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IO Years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64C08740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2D20D91" w14:textId="343EB55D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7801E110" w14:textId="663A40F2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F5F68DC" w14:textId="59C8661A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Interest-only period in years from origination. Enter 0 if the loan has no IO period.</w:t>
            </w:r>
          </w:p>
        </w:tc>
      </w:tr>
      <w:tr w:rsidR="00FE352F" w:rsidTr="3A9FB775" w14:paraId="03E7A9E3" w14:textId="77777777">
        <w:tc>
          <w:tcPr>
            <w:tcW w:w="658" w:type="dxa"/>
            <w:shd w:val="clear" w:color="auto" w:fill="F2F2F0"/>
            <w:tcMar/>
          </w:tcPr>
          <w:p w:rsidRPr="6FDACA47" w:rsidR="00FE352F" w:rsidP="00B56307" w:rsidRDefault="00FE352F" w14:paraId="57C3D7AE" w14:textId="5C952A51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20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00B56307" w:rsidRDefault="00FE352F" w14:paraId="0F361910" w14:textId="7777777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Residual Loan Term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5305FFB8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96C2F0A" w14:textId="67B2D799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2B73135D" w14:textId="63DA6BFD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6555D43" w14:textId="1C7ABB60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Years until the rate resets or the balloon payment is due (end of the fixed-rate period).</w:t>
            </w:r>
          </w:p>
        </w:tc>
      </w:tr>
      <w:tr w:rsidR="00FE352F" w:rsidTr="3A9FB775" w14:paraId="0FB590B6" w14:textId="77777777">
        <w:tc>
          <w:tcPr>
            <w:tcW w:w="658" w:type="dxa"/>
            <w:shd w:val="clear" w:color="auto" w:fill="FFFFFF" w:themeFill="background1"/>
            <w:tcMar/>
          </w:tcPr>
          <w:p w:rsidRPr="6FDACA47" w:rsidR="00FE352F" w:rsidP="00B56307" w:rsidRDefault="00FE352F" w14:paraId="696D1512" w14:textId="5140353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21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6C5BD2" w:rsidR="00FE352F" w:rsidP="3A9FB775" w:rsidRDefault="00FE352F" w14:paraId="18CE48CE" w14:textId="77777777">
            <w:pPr>
              <w:pStyle w:val="NoSpacing"/>
              <w:rPr>
                <w:lang w:eastAsia="ko-KR"/>
              </w:rPr>
            </w:pPr>
            <w:r w:rsidR="0CD9E41B">
              <w:rPr/>
              <w:t>Monthly P&amp;!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09648E27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CCBC494" w14:textId="46C186FE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0020352E" w14:textId="4D6DAE36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0412F04" w14:textId="15873C47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Contractual monthly principal-and-interest payment from the bank statement. When provided, this overrides the computed payment and is used for Debt NPV and Annual Debt Service.</w:t>
            </w:r>
          </w:p>
        </w:tc>
      </w:tr>
      <w:tr w:rsidR="00FE352F" w:rsidTr="3A9FB775" w14:paraId="794EBAD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3D3B2736" w14:textId="4883C146">
            <w:pPr>
              <w:jc w:val="center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22</w:t>
            </w:r>
          </w:p>
        </w:tc>
        <w:tc>
          <w:tcPr>
            <w:tcW w:w="2856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215C25AD" w14:textId="243E4A38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E.  CURRENT VALUES</w:t>
            </w:r>
          </w:p>
        </w:tc>
        <w:tc>
          <w:tcPr>
            <w:tcW w:w="1175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1D38454D" w14:textId="77777777"/>
        </w:tc>
        <w:tc>
          <w:tcPr>
            <w:tcW w:w="1301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671E1644" w14:textId="213C3133"/>
        </w:tc>
        <w:tc>
          <w:tcPr>
            <w:tcW w:w="89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EC5DC1" w:rsidRDefault="00FE352F" w14:paraId="5E32D563" w14:textId="77777777">
            <w:pPr>
              <w:jc w:val="center"/>
            </w:pPr>
          </w:p>
        </w:tc>
        <w:tc>
          <w:tcPr>
            <w:tcW w:w="7142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0849264B" w14:textId="5479C2CB"/>
        </w:tc>
      </w:tr>
      <w:tr w:rsidR="00FE352F" w:rsidTr="3A9FB775" w14:paraId="304460D5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35337716" w14:textId="1E542244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23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26C5273" w14:textId="6E41C8C2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ADJ. NET VALUE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7378838C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0A3B5E1" w14:textId="5E7CC403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496CE29C" w14:textId="03C13DA4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3856A1C" w14:textId="0339548A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market_value − deferred_capex. Represents the effective value of the property after adjusting for deferred spend.</w:t>
            </w:r>
          </w:p>
        </w:tc>
      </w:tr>
      <w:tr w:rsidR="00FE352F" w:rsidTr="3A9FB775" w14:paraId="55FC8AB3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00AA8D44" w14:textId="250BD4E0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24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9FA1D8E" w14:textId="0FB1D642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DEBT NPV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1C9C0EAE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B4C9EBC" w14:textId="1BDD874B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396CDCBC" w14:textId="27665EE6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57288F2" w14:textId="67C987D5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Present value of all remaining loan cash flows discounted at the Market Discount Rate. For an IO loan in its IO period: PV of IO payments + PV of balloon at end of IO period, both discounted at the market rate. For an amortizing loan: PV of the remaining monthly P&amp;I stream to balloon/reset, plus PV of the remaining balance at that date, discounted at the market rate. A below-market rate loan has Debt NPV &lt; loan_balance — the borrower benefits from cheaper-than-market debt.</w:t>
            </w:r>
          </w:p>
        </w:tc>
      </w:tr>
      <w:tr w:rsidR="00FE352F" w:rsidTr="3A9FB775" w14:paraId="7EE8C494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5461C640" w14:textId="5A35EE8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25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5FF5B31" w14:textId="155349B2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NPV EQUITY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76891816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05A4DC0" w14:textId="29C7F184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74618149" w14:textId="1D535860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365AE9E" w14:textId="1B5A5AFE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Adj. Market Value − Debt NPV. The true economic equity in the property after valuing the debt correctly at current market rates rather than simply subtracting the face balance.</w:t>
            </w:r>
          </w:p>
        </w:tc>
      </w:tr>
      <w:tr w:rsidR="00FE352F" w:rsidTr="3A9FB775" w14:paraId="37AA75AF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145A1339" w14:textId="0E654BEB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26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EA039F0" w14:textId="0179784F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ANNUAL DEBT SERVICE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74EEB083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3DB89EC" w14:textId="016AB000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6F073F45" w14:textId="217224E8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847057D" w14:textId="493AC793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If IO period is still active: loan_balance × loan_rate ÷ 100. Otherwise: monthly_payment × 12 (or computed payment × 12 if monthly_payment is blank).</w:t>
            </w:r>
          </w:p>
        </w:tc>
      </w:tr>
      <w:tr w:rsidR="00FE352F" w:rsidTr="3A9FB775" w14:paraId="3DA7D506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232D2DAC" w14:textId="226C24B0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27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73DEE89" w14:textId="73EFBB59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NET CASH FLOW / YR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0EDBF0AC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DF4C973" w14:textId="43B4EC59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32520F31" w14:textId="32FE9D71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2E105C9" w14:textId="40B31C50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noi − Annual Debt Service. The cash the property produces after meeting its loan obligations.</w:t>
            </w:r>
          </w:p>
        </w:tc>
      </w:tr>
      <w:tr w:rsidR="00FE352F" w:rsidTr="3A9FB775" w14:paraId="3E08F4F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111AE178" w14:textId="02265672">
            <w:pPr>
              <w:jc w:val="center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28</w:t>
            </w:r>
          </w:p>
        </w:tc>
        <w:tc>
          <w:tcPr>
            <w:tcW w:w="2856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4F487CB4" w14:textId="36BFD217">
            <w:pPr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>F.  TAX AND COMPLIANCE</w:t>
            </w:r>
          </w:p>
        </w:tc>
        <w:tc>
          <w:tcPr>
            <w:tcW w:w="1175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B56307" w:rsidRDefault="00FE352F" w14:paraId="07184CC3" w14:textId="77777777"/>
        </w:tc>
        <w:tc>
          <w:tcPr>
            <w:tcW w:w="1301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2AE4E381" w14:textId="6F22049F"/>
        </w:tc>
        <w:tc>
          <w:tcPr>
            <w:tcW w:w="89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/>
          </w:tcPr>
          <w:p w:rsidR="00FE352F" w:rsidP="00EC5DC1" w:rsidRDefault="00FE352F" w14:paraId="6BDD96CD" w14:textId="77777777">
            <w:pPr>
              <w:jc w:val="center"/>
            </w:pPr>
          </w:p>
        </w:tc>
        <w:tc>
          <w:tcPr>
            <w:tcW w:w="7142" w:type="dxa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C8541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FE352F" w:rsidP="00B56307" w:rsidRDefault="00FE352F" w14:paraId="29F884BC" w14:textId="3954235E"/>
        </w:tc>
      </w:tr>
      <w:tr w:rsidR="00FE352F" w:rsidTr="3A9FB775" w14:paraId="50AC3DB3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6D2B019E" w14:textId="0925808C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29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5EA0821" w14:textId="594F7120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NEXT 40-YR CERTIFICATION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7DFD983D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E46AC0A" w14:textId="17CF124B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39708A54" w14:textId="3D5AD134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842AB24" w14:textId="52203A7C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Year the property's next 40-year recertification is due. Entered manually in the tool. Displayed on the property card for compliance awareness.</w:t>
            </w:r>
          </w:p>
        </w:tc>
      </w:tr>
      <w:tr w:rsidR="00FE352F" w:rsidTr="3A9FB775" w14:paraId="752383D5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7AC7C9A6" w14:textId="55ED15F6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30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D8FEC66" w14:textId="275EA80A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ZONING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37D1661E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56CF213" w14:textId="39EF991B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6212DD84" w14:textId="60189B8B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F8FA7C1" w14:textId="58B99195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Zoning designation of the property (e.g. RM-24). Entered manually in the tool or supplied via Excel. Displayed on the card for reference.</w:t>
            </w:r>
          </w:p>
        </w:tc>
      </w:tr>
      <w:tr w:rsidR="00FE352F" w:rsidTr="3A9FB775" w14:paraId="4CD424C8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6E8571CB" w14:textId="0B531422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31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06B7CD9" w14:textId="2E64B000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TAX BASIS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1A4E96FD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6A14D4E" w14:textId="6C3A795B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442F75B6" w14:textId="2B1413A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51F4CD9" w14:textId="0627E958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Adjusted tax basis of the property in dollars — the remaining depreciable value the IRS allows the owner to write off. Used in the Tax Shortfall (Basis) true-up.</w:t>
            </w:r>
          </w:p>
        </w:tc>
      </w:tr>
      <w:tr w:rsidR="00FE352F" w:rsidTr="3A9FB775" w14:paraId="0D063C2B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1DC7E0F0" w14:textId="0D3806B1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32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80D2C62" w14:textId="3AE5891A">
            <w:pP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BLANK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418BE588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C6C733C" w14:textId="085F0D3F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------------------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69391F63" w14:textId="77777777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6FDACA47" w:rsidR="00FE352F" w:rsidP="00B56307" w:rsidRDefault="00FE352F" w14:paraId="778D9125" w14:textId="6323A335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2F724B24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0193E18E" w14:textId="002607AC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33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140B059" w14:textId="7199FDDE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DEPRECIATION 2025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4E3025EB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9B9FCCE" w14:textId="19FE5C85">
            <w: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  <w:t>↑ Uploaded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265F9DA5" w14:textId="3C433760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F245232" w14:textId="5143855A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Annual depreciation tax shield for the current year. Typically: Tax Basis ÷ remaining depreciable life × effective tax rate. Displayed on the card for reference.</w:t>
            </w:r>
          </w:p>
        </w:tc>
      </w:tr>
      <w:tr w:rsidR="00FE352F" w:rsidTr="3A9FB775" w14:paraId="7F8494AC" w14:textId="77777777">
        <w:tc>
          <w:tcPr>
            <w:tcW w:w="658" w:type="dxa"/>
            <w:shd w:val="clear" w:color="auto" w:fill="B4C6E7" w:themeFill="accent1" w:themeFillTint="66"/>
            <w:tcMar/>
          </w:tcPr>
          <w:p w:rsidR="00FE352F" w:rsidP="002654EA" w:rsidRDefault="00FE352F" w14:paraId="46ACB007" w14:textId="1550E3C3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34</w:t>
            </w:r>
          </w:p>
        </w:tc>
        <w:tc>
          <w:tcPr>
            <w:tcW w:w="1296" w:type="dxa"/>
            <w:shd w:val="clear" w:color="auto" w:fill="B4C6E7" w:themeFill="accent1" w:themeFillTint="66"/>
            <w:tcMar/>
          </w:tcPr>
          <w:p w:rsidRPr="00962023" w:rsidR="00FE352F" w:rsidP="006C5BD2" w:rsidRDefault="00FE352F" w14:paraId="484B233F" w14:textId="77777777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</w:p>
        </w:tc>
        <w:tc>
          <w:tcPr>
            <w:tcW w:w="4036" w:type="dxa"/>
            <w:gridSpan w:val="3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6C5BD2" w:rsidRDefault="00FE352F" w14:paraId="69E9E597" w14:textId="7031F9DA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 w:rsidRPr="00962023"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PARTNER TOTALS AND PROPORTIONALITY CHECK</w:t>
            </w:r>
          </w:p>
        </w:tc>
        <w:tc>
          <w:tcPr>
            <w:tcW w:w="898" w:type="dxa"/>
            <w:shd w:val="clear" w:color="auto" w:fill="B4C6E7" w:themeFill="accent1" w:themeFillTint="66"/>
            <w:tcMar/>
          </w:tcPr>
          <w:p w:rsidR="00FE352F" w:rsidP="00EC5DC1" w:rsidRDefault="00FE352F" w14:paraId="138527D7" w14:textId="77777777">
            <w:pPr>
              <w:jc w:val="center"/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2645" w:type="dxa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4D19C505" w14:textId="1F802E83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4497" w:type="dxa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70A8319F" w14:textId="797AC570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 w:rsidRPr="007D45C3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Partner Panel Totals (Aggregated Across Each Partner's Properties)</w:t>
            </w:r>
          </w:p>
        </w:tc>
      </w:tr>
      <w:tr w:rsidR="00FE352F" w:rsidTr="3A9FB775" w14:paraId="0370580D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34B9FD47" w14:textId="06912847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35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E365326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Market Value (total)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2E9F1432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520C825" w14:textId="58A0DF30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0B4C1C25" w14:textId="79B036D0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5AB307F" w14:textId="05E708E0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market_value for all properties assigned to this partner.</w:t>
            </w:r>
          </w:p>
        </w:tc>
      </w:tr>
      <w:tr w:rsidR="00FE352F" w:rsidTr="3A9FB775" w14:paraId="22D29CE0" w14:textId="77777777">
        <w:tc>
          <w:tcPr>
            <w:tcW w:w="658" w:type="dxa"/>
            <w:shd w:val="clear" w:color="auto" w:fill="F2F2F0"/>
            <w:tcMar/>
          </w:tcPr>
          <w:p w:rsidRPr="6FDACA47" w:rsidR="00FE352F" w:rsidP="00B56307" w:rsidRDefault="00FE352F" w14:paraId="07EE8B05" w14:textId="15523C5A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36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557FD4E" w14:textId="77777777">
            <w:r w:rsidRPr="6FDACA47"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Deferred CapEx (total)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4EEFFDE3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B9D85E7" w14:textId="1F81BB02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31B51E64" w14:textId="7833BAB3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526F6B0" w14:textId="61E88EA4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deferred_capex for all properties assigned to this partner.</w:t>
            </w:r>
          </w:p>
        </w:tc>
      </w:tr>
      <w:tr w:rsidR="00FE352F" w:rsidTr="3A9FB775" w14:paraId="2D3461E0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04D8F62D" w14:textId="0FC1C81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37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268C3B0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Adj. Market Value (total)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0F19687A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827F846" w14:textId="7206EF5B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068B02E5" w14:textId="738E7004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06C7E42" w14:textId="31E3ADB0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Adj. Market Value for all properties assigned to this partner.</w:t>
            </w:r>
          </w:p>
        </w:tc>
      </w:tr>
      <w:tr w:rsidR="00FE352F" w:rsidTr="3A9FB775" w14:paraId="53E114E0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4D9B952F" w14:textId="702A6DB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38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4B6F880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Loan Balance (total)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244454B5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A682AD4" w14:textId="32B6A77E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Pr="6FDACA47" w:rsidR="00FE352F" w:rsidP="00EC5DC1" w:rsidRDefault="00FE352F" w14:paraId="539A59EF" w14:textId="3A6C478F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93FE92B" w14:textId="3062A680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loan_balance for all properties assigned to this partner.</w:t>
            </w:r>
          </w:p>
        </w:tc>
      </w:tr>
      <w:tr w:rsidR="00FE352F" w:rsidTr="3A9FB775" w14:paraId="7BCEA8AA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7CEAB1AF" w14:textId="5D9C2AEA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39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2AF7E62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Debt NPV (total)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6B71EE7F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1906087" w14:textId="56D6045B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569A2E70" w14:textId="3B3B9018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AD3D63D" w14:textId="67A8ED08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Debt NPV for all properties assigned to this partner.</w:t>
            </w:r>
          </w:p>
        </w:tc>
      </w:tr>
      <w:tr w:rsidR="00FE352F" w:rsidTr="3A9FB775" w14:paraId="1EC09325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42297F0A" w14:textId="3AB95DF1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40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CFB7115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NPV Equity (total)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58786C72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52E1349" w14:textId="5FA85958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59A16F61" w14:textId="7713CAB9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3A6BD7F" w14:textId="03AE87EE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NPV Equity for all properties assigned to this partner. This is the primary settlement metric.</w:t>
            </w:r>
          </w:p>
        </w:tc>
      </w:tr>
      <w:tr w:rsidR="00FE352F" w:rsidTr="3A9FB775" w14:paraId="7F22B340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5CD9BC65" w14:textId="183B741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41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81D533F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NOI / yr (total)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28781BDA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80F6897" w14:textId="4B76D28C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Pr="6FDACA47" w:rsidR="00FE352F" w:rsidP="00EC5DC1" w:rsidRDefault="00FE352F" w14:paraId="0E5BE45F" w14:textId="4D550B86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22C0E05" w14:textId="09C2B9BB">
            <w:r w:rsidRPr="6FDACA47"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noi for all properties assigned to this partner.</w:t>
            </w:r>
          </w:p>
        </w:tc>
      </w:tr>
      <w:tr w:rsidR="00FE352F" w:rsidTr="3A9FB775" w14:paraId="1DB38958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71438B7E" w14:textId="419443E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42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74B5AAF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Ann. Debt Service (total)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7ABF6BCF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0E2B36F" w14:textId="2CB6C565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37C055D9" w14:textId="52A7F84F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40A6439" w14:textId="22D3F08F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Annual Debt Service for all properties assigned to this partner.</w:t>
            </w:r>
          </w:p>
        </w:tc>
      </w:tr>
      <w:tr w:rsidR="00FE352F" w:rsidTr="3A9FB775" w14:paraId="27C3F78F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0BA8B603" w14:textId="6A86892E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43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25B37AD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Net CF / yr (total)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76EDFEAE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073D697" w14:textId="1D704404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6B9C5FAD" w14:textId="10EDC65E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6FC4A87" w14:textId="4A1D92FA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Net Cash Flow / yr for all properties assigned to this partner.</w:t>
            </w:r>
          </w:p>
        </w:tc>
      </w:tr>
      <w:tr w:rsidR="00FE352F" w:rsidTr="3A9FB775" w14:paraId="7E35BCEA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2654EA" w:rsidRDefault="00FE352F" w14:paraId="5558DDB2" w14:textId="4649A21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44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6C5BD2" w:rsidRDefault="00FE352F" w14:paraId="4D3DDFB0" w14:textId="11001FB3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Properties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RDefault="00FE352F" w14:paraId="18E995EF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59BB3D99" w14:textId="22C5CA2B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0F73194A" w14:textId="0CDFCB8F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RDefault="00FE352F" w14:paraId="7F370E8A" w14:textId="1955E65C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537E2C58" w14:textId="77777777">
        <w:tc>
          <w:tcPr>
            <w:tcW w:w="658" w:type="dxa"/>
            <w:shd w:val="clear" w:color="auto" w:fill="F2F2F0"/>
            <w:tcMar/>
          </w:tcPr>
          <w:p w:rsidR="00FE352F" w:rsidP="00C905AC" w:rsidRDefault="00FE352F" w14:paraId="4F0CD19A" w14:textId="7317B2F8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45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39D1D5EA" w14:textId="600E31C9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Tax Basis (total)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C905AC" w:rsidRDefault="00FE352F" w14:paraId="545D3C2B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2084B19" w14:textId="56E96F3C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5F044551" w14:textId="0090E466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5335D6CC" w14:textId="40BE4906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tax_basis for all properties assigned to this partner. Compared to each partner's proportional target basis to compute the Tax Shortfall.</w:t>
            </w:r>
          </w:p>
        </w:tc>
      </w:tr>
      <w:tr w:rsidR="00FE352F" w:rsidTr="3A9FB775" w14:paraId="6ECC7D2D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46123BCE" w14:textId="16BDAE5D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46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48D2A26" w14:textId="082D42E3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Bid Difference (total)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79708F1D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7696DC40" w14:textId="1168B83C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20390842" w14:textId="5196E06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148C8B66" w14:textId="337EBD83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Bid Difference for all properties assigned to this partner.</w:t>
            </w:r>
          </w:p>
        </w:tc>
      </w:tr>
      <w:tr w:rsidRPr="0025498A" w:rsidR="00FE352F" w:rsidTr="3A9FB775" w14:paraId="4EF6CF70" w14:textId="77777777">
        <w:tc>
          <w:tcPr>
            <w:tcW w:w="658" w:type="dxa"/>
            <w:shd w:val="clear" w:color="auto" w:fill="B4C6E7" w:themeFill="accent1" w:themeFillTint="66"/>
            <w:tcMar/>
          </w:tcPr>
          <w:p w:rsidRPr="0025498A" w:rsidR="00FE352F" w:rsidP="00C905AC" w:rsidRDefault="00FE352F" w14:paraId="74646FA6" w14:textId="21398FE8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47</w:t>
            </w:r>
          </w:p>
        </w:tc>
        <w:tc>
          <w:tcPr>
            <w:tcW w:w="2856" w:type="dxa"/>
            <w:gridSpan w:val="2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5498A" w:rsidR="00FE352F" w:rsidP="00C905AC" w:rsidRDefault="00FE352F" w14:paraId="4C1C24D2" w14:textId="6B6C0555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 w:rsidRPr="0025498A"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PROPORTIONALITY VS TARGET</w:t>
            </w:r>
          </w:p>
        </w:tc>
        <w:tc>
          <w:tcPr>
            <w:tcW w:w="1175" w:type="dxa"/>
            <w:shd w:val="clear" w:color="auto" w:fill="B4C6E7" w:themeFill="accent1" w:themeFillTint="66"/>
            <w:tcMar/>
          </w:tcPr>
          <w:p w:rsidRPr="0025498A" w:rsidR="00FE352F" w:rsidP="00C905AC" w:rsidRDefault="00FE352F" w14:paraId="6D34097F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5498A" w:rsidR="00FE352F" w:rsidP="00C905AC" w:rsidRDefault="00FE352F" w14:paraId="6EBD6D52" w14:textId="0E9109DD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B4C6E7" w:themeFill="accent1" w:themeFillTint="66"/>
            <w:tcMar/>
          </w:tcPr>
          <w:p w:rsidRPr="0025498A" w:rsidR="00FE352F" w:rsidP="00EC5DC1" w:rsidRDefault="00FE352F" w14:paraId="4526FBC3" w14:textId="77777777">
            <w:pPr>
              <w:jc w:val="center"/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7142" w:type="dxa"/>
            <w:gridSpan w:val="2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5498A" w:rsidR="00FE352F" w:rsidP="00C905AC" w:rsidRDefault="00FE352F" w14:paraId="7417C53E" w14:textId="72551581">
            <w:pP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</w:pPr>
          </w:p>
        </w:tc>
      </w:tr>
      <w:tr w:rsidR="00FE352F" w:rsidTr="3A9FB775" w14:paraId="45C08996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3CC8AA4F" w14:textId="4FA505D1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48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93A5B75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NPV Equity gap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24D4F9E2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ED391A3" w14:textId="4E1C0ABE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1FD049D3" w14:textId="242C27A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2586F70E" w14:textId="251E8B3C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Partner's NPV Equity (total) − (portfolio total NPV Equity × ownership %). Positive = partner is under-allocated and is owed; negative = over-allocated and owes.</w:t>
            </w:r>
          </w:p>
        </w:tc>
      </w:tr>
      <w:tr w:rsidR="00FE352F" w:rsidTr="3A9FB775" w14:paraId="2AD043F1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066B0D7F" w14:textId="219D341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49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3F177FC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Adj. Market Value gap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5EED7FD8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194D6E2" w14:textId="78C2A980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6CB6C2AC" w14:textId="4CFA6BF0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604A238" w14:textId="114DB21D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Partner's Adj. Market Value (total) − (portfolio total Adj. Market Value × ownership %).</w:t>
            </w:r>
          </w:p>
        </w:tc>
      </w:tr>
      <w:tr w:rsidR="00FE352F" w:rsidTr="3A9FB775" w14:paraId="60A0553F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12CB494C" w14:textId="0DC89938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50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BC7ACCC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Debt Service gap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11510047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63CCCD3" w14:textId="6C1F8C29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3D0EB366" w14:textId="3E0BC575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758A95C3" w14:textId="09CDF3CD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Partner's Ann. Debt Service (total) − (portfolio total Ann. Debt Service × ownership %).</w:t>
            </w:r>
          </w:p>
        </w:tc>
      </w:tr>
      <w:tr w:rsidR="00FE352F" w:rsidTr="3A9FB775" w14:paraId="02EBFAD9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01F33206" w14:textId="27F3AC19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51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9D2C560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Net Cash Flow gap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19A3C1CB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5EAF2BB" w14:textId="64F15702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2AFC183F" w14:textId="64A2E93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16ECE45" w14:textId="795773A2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Partner's Net CF / yr (total) − (portfolio total Net CF / yr × ownership %).</w:t>
            </w:r>
          </w:p>
        </w:tc>
      </w:tr>
      <w:tr w:rsidR="00FE352F" w:rsidTr="3A9FB775" w14:paraId="36C1A249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3202F8C7" w14:textId="7C3B5440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52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370EA8A3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Tax Shortfall (basis)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18693330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868447D" w14:textId="26013C0B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43422484" w14:textId="58DA3A19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3184FFE" w14:textId="046F7758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(Portfolio total Tax Basis × ownership %) − Partner's Tax Basis (total). Positive means the partner received less basis than their proportional share and is owed compensation. The dollar value is: shortfall ÷ remaining depreciable life × tax rate, discounted to present value at the Market Discount Rate.</w:t>
            </w:r>
          </w:p>
        </w:tc>
      </w:tr>
      <w:tr w:rsidR="00FE352F" w:rsidTr="3A9FB775" w14:paraId="6841BD65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B56307" w:rsidRDefault="00FE352F" w14:paraId="3D7B8A49" w14:textId="51E870C8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53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4774DC19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Bid Difference gap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B56307" w:rsidRDefault="00FE352F" w14:paraId="5CD98A02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92C9328" w14:textId="5FC9D411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73B32CA7" w14:textId="46F3BDB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6E164AD5" w14:textId="495C4440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Bid Differences for properties won by this partner minus 50% of the total portfolio Bid Differences. Split 60/40 through the shared settlement pot.</w:t>
            </w:r>
          </w:p>
        </w:tc>
      </w:tr>
      <w:tr w:rsidR="00FE352F" w:rsidTr="3A9FB775" w14:paraId="35DF1786" w14:textId="77777777">
        <w:tc>
          <w:tcPr>
            <w:tcW w:w="658" w:type="dxa"/>
            <w:shd w:val="clear" w:color="auto" w:fill="F2F2F0"/>
            <w:tcMar/>
          </w:tcPr>
          <w:p w:rsidR="00FE352F" w:rsidP="00B56307" w:rsidRDefault="00FE352F" w14:paraId="3D0BBAD0" w14:textId="4FCAAB25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54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060A7F5A" w14:textId="77777777"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Total True-Up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B56307" w:rsidRDefault="00FE352F" w14:paraId="1842B287" w14:textId="77777777">
            <w:pPr>
              <w:rPr>
                <w:rFonts w:ascii="Calibri" w:hAnsi="Calibri" w:eastAsia="Calibri" w:cs="Calibri"/>
                <w:color w:val="444444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5BC4659A" w14:textId="12D53443">
            <w:r>
              <w:rPr>
                <w:rFonts w:ascii="Calibri" w:hAnsi="Calibri" w:eastAsia="Calibri" w:cs="Calibri"/>
                <w:color w:val="444444"/>
                <w:sz w:val="18"/>
                <w:szCs w:val="18"/>
              </w:rPr>
              <w:t>Calculated</w:t>
            </w:r>
          </w:p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0B9D39A3" w14:textId="0FC270F3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B56307" w:rsidRDefault="00FE352F" w14:paraId="187AB0D8" w14:textId="00BA7167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Sum of all gap line items above. The partner whose Total True-Up is negative is the one who pays cash to close the gap. By construction the two partners' totals net to zero.</w:t>
            </w:r>
          </w:p>
        </w:tc>
      </w:tr>
      <w:tr w:rsidR="00FE352F" w:rsidTr="3A9FB775" w14:paraId="7F2F90FB" w14:textId="77777777">
        <w:tc>
          <w:tcPr>
            <w:tcW w:w="658" w:type="dxa"/>
            <w:shd w:val="clear" w:color="auto" w:fill="B4C6E7" w:themeFill="accent1" w:themeFillTint="66"/>
            <w:tcMar/>
          </w:tcPr>
          <w:p w:rsidR="00FE352F" w:rsidP="00C905AC" w:rsidRDefault="00FE352F" w14:paraId="613E3FCF" w14:textId="05EFFDAB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55</w:t>
            </w:r>
          </w:p>
        </w:tc>
        <w:tc>
          <w:tcPr>
            <w:tcW w:w="2856" w:type="dxa"/>
            <w:gridSpan w:val="2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2C22D200" w14:textId="20D90315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 xml:space="preserve">GAP ANALYSIS </w:t>
            </w:r>
            <w:r w:rsidRPr="00603EE0"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&amp; SETTLEMENT</w:t>
            </w:r>
          </w:p>
        </w:tc>
        <w:tc>
          <w:tcPr>
            <w:tcW w:w="1175" w:type="dxa"/>
            <w:shd w:val="clear" w:color="auto" w:fill="B4C6E7" w:themeFill="accent1" w:themeFillTint="66"/>
            <w:tcMar/>
          </w:tcPr>
          <w:p w:rsidR="00FE352F" w:rsidP="00C905AC" w:rsidRDefault="00FE352F" w14:paraId="3E911CB0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EDF0FC2" w14:textId="68A289E6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B4C6E7" w:themeFill="accent1" w:themeFillTint="66"/>
            <w:tcMar/>
          </w:tcPr>
          <w:p w:rsidR="00FE352F" w:rsidP="00EC5DC1" w:rsidRDefault="00FE352F" w14:paraId="3DF367D7" w14:textId="77777777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  <w:tc>
          <w:tcPr>
            <w:tcW w:w="7142" w:type="dxa"/>
            <w:gridSpan w:val="2"/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5E6C636F" w14:textId="41E30995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6F8BE00F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04B4D942" w14:textId="62E34F1A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56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28FF7A8A" w14:textId="17CA59B1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NPV Equity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38B0E527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C0CD77F" w14:textId="2ECAE49B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2BB02CF9" w14:textId="3173CEBA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3B41B66" w14:textId="2D86E948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7E7FC869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752BD590" w14:textId="455E8B4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57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2DACFBE3" w14:textId="64972AE9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Adjusted Market Value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34CA58D5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047EFA1" w14:textId="4264EC4F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1103DBE1" w14:textId="42CE951B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2C0EE39" w14:textId="3655B4BF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3FE8624C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3C2EF6DA" w14:textId="571340F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58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70C0DD0A" w14:textId="689F7D01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Debt Service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22452F51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31ECAC4A" w14:textId="0D44C4F9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4F6F1C8F" w14:textId="0A3AF6FE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5F9A5CD6" w14:textId="03863A16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1D5A994F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1BA02DE9" w14:textId="18B154AD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59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B0DF7F1" w14:textId="477D8E64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Net Cash Flow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57776262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11EDD084" w14:textId="67EF03F3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2A083C26" w14:textId="13221B02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B650415" w14:textId="1704B108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030AF88C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529BF1DA" w14:textId="660A22BF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60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39A1BED" w14:textId="61306F7C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Tax Basis (Shortfall)</w:t>
            </w:r>
          </w:p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54205F0E" w14:textId="77777777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0A2E23E0" w14:textId="0C55D6DC">
            <w:pPr>
              <w:rPr>
                <w:rFonts w:ascii="Calibri" w:hAnsi="Calibri" w:eastAsia="Calibri" w:cs="Calibri"/>
                <w:b/>
                <w:bCs/>
                <w:color w:val="C8541A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12751DE2" w14:textId="1E72E010">
            <w:pPr>
              <w:jc w:val="center"/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2722F482" w14:textId="0421743E">
            <w:pPr>
              <w:rPr>
                <w:rFonts w:ascii="Calibri" w:hAnsi="Calibri" w:eastAsia="Calibri" w:cs="Calibri"/>
                <w:color w:val="222222"/>
                <w:sz w:val="18"/>
                <w:szCs w:val="18"/>
              </w:rPr>
            </w:pPr>
          </w:p>
        </w:tc>
      </w:tr>
      <w:tr w:rsidR="00FE352F" w:rsidTr="3A9FB775" w14:paraId="62C72CD6" w14:textId="77777777">
        <w:tc>
          <w:tcPr>
            <w:tcW w:w="658" w:type="dxa"/>
            <w:shd w:val="clear" w:color="auto" w:fill="F2F2F0"/>
            <w:tcMar/>
          </w:tcPr>
          <w:p w:rsidRPr="6FDACA47" w:rsidR="00FE352F" w:rsidP="00C905AC" w:rsidRDefault="00FE352F" w14:paraId="52EB903F" w14:textId="2DE3F88B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61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D5C64" w:rsidR="00FE352F" w:rsidP="00C905AC" w:rsidRDefault="00FE352F" w14:paraId="64CDBFA6" w14:textId="371A0AB8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 w:rsidRPr="007D5C64"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Bid Difference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C905AC" w:rsidRDefault="00FE352F" w14:paraId="36412BEC" w14:textId="77777777"/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207E29D" w14:textId="2D15BEB0"/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2614CB7B" w14:textId="380A9277">
            <w:pPr>
              <w:jc w:val="center"/>
            </w:pPr>
            <w: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71648C3C" w14:textId="05A1AA74"/>
        </w:tc>
      </w:tr>
      <w:tr w:rsidR="00FE352F" w:rsidTr="3A9FB775" w14:paraId="77CE2117" w14:textId="77777777">
        <w:tc>
          <w:tcPr>
            <w:tcW w:w="658" w:type="dxa"/>
            <w:shd w:val="clear" w:color="auto" w:fill="F2F2F0"/>
            <w:tcMar/>
          </w:tcPr>
          <w:p w:rsidR="00FE352F" w:rsidP="00C905AC" w:rsidRDefault="00FE352F" w14:paraId="0D9404AD" w14:textId="1DC2A957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62</w:t>
            </w:r>
          </w:p>
        </w:tc>
        <w:tc>
          <w:tcPr>
            <w:tcW w:w="2856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D5C64" w:rsidR="00FE352F" w:rsidP="00C905AC" w:rsidRDefault="00FE352F" w14:paraId="74CA5C03" w14:textId="74426EAA">
            <w:pPr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</w:pPr>
            <w:r w:rsidRPr="007D5C64">
              <w:rPr>
                <w:rFonts w:ascii="Calibri" w:hAnsi="Calibri" w:cs="Calibri"/>
                <w:b/>
                <w:bCs/>
                <w:color w:val="1A2540"/>
                <w:sz w:val="18"/>
                <w:szCs w:val="18"/>
              </w:rPr>
              <w:t>Cash Equivalents</w:t>
            </w:r>
          </w:p>
        </w:tc>
        <w:tc>
          <w:tcPr>
            <w:tcW w:w="1175" w:type="dxa"/>
            <w:shd w:val="clear" w:color="auto" w:fill="F2F2F0"/>
            <w:tcMar/>
          </w:tcPr>
          <w:p w:rsidR="00FE352F" w:rsidP="00C905AC" w:rsidRDefault="00FE352F" w14:paraId="4D5FA762" w14:textId="77777777"/>
        </w:tc>
        <w:tc>
          <w:tcPr>
            <w:tcW w:w="1301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7C094FBC" w14:textId="0F1C57C4"/>
        </w:tc>
        <w:tc>
          <w:tcPr>
            <w:tcW w:w="898" w:type="dxa"/>
            <w:shd w:val="clear" w:color="auto" w:fill="F2F2F0"/>
            <w:tcMar/>
          </w:tcPr>
          <w:p w:rsidR="00FE352F" w:rsidP="00EC5DC1" w:rsidRDefault="00FE352F" w14:paraId="7B109EE9" w14:textId="08A1B21B">
            <w:pPr>
              <w:jc w:val="center"/>
            </w:pPr>
            <w:r>
              <w:t>N</w:t>
            </w:r>
          </w:p>
        </w:tc>
        <w:tc>
          <w:tcPr>
            <w:tcW w:w="7142" w:type="dxa"/>
            <w:gridSpan w:val="2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82F524B" w14:textId="65F820D6"/>
        </w:tc>
      </w:tr>
      <w:tr w:rsidR="00FE352F" w:rsidTr="3A9FB775" w14:paraId="0D07B248" w14:textId="77777777">
        <w:tc>
          <w:tcPr>
            <w:tcW w:w="658" w:type="dxa"/>
            <w:shd w:val="clear" w:color="auto" w:fill="FFFFFF" w:themeFill="background1"/>
            <w:tcMar/>
          </w:tcPr>
          <w:p w:rsidR="00FE352F" w:rsidP="00C905AC" w:rsidRDefault="00FE352F" w14:paraId="370B903A" w14:textId="4FE734F6">
            <w:pPr>
              <w:jc w:val="center"/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1A2540"/>
                <w:sz w:val="18"/>
                <w:szCs w:val="18"/>
              </w:rPr>
              <w:t>63</w:t>
            </w:r>
          </w:p>
        </w:tc>
        <w:tc>
          <w:tcPr>
            <w:tcW w:w="2856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16AF1C76" w14:textId="39D9E547"/>
        </w:tc>
        <w:tc>
          <w:tcPr>
            <w:tcW w:w="1175" w:type="dxa"/>
            <w:shd w:val="clear" w:color="auto" w:fill="FFFFFF" w:themeFill="background1"/>
            <w:tcMar/>
          </w:tcPr>
          <w:p w:rsidR="00FE352F" w:rsidP="00C905AC" w:rsidRDefault="00FE352F" w14:paraId="7A4B70C1" w14:textId="77777777"/>
        </w:tc>
        <w:tc>
          <w:tcPr>
            <w:tcW w:w="13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48616150" w14:textId="521B3EF7"/>
        </w:tc>
        <w:tc>
          <w:tcPr>
            <w:tcW w:w="898" w:type="dxa"/>
            <w:shd w:val="clear" w:color="auto" w:fill="FFFFFF" w:themeFill="background1"/>
            <w:tcMar/>
          </w:tcPr>
          <w:p w:rsidR="00FE352F" w:rsidP="00EC5DC1" w:rsidRDefault="00FE352F" w14:paraId="2438438C" w14:textId="3E3A653D">
            <w:pPr>
              <w:jc w:val="center"/>
            </w:pPr>
            <w:r>
              <w:t>N</w:t>
            </w:r>
          </w:p>
        </w:tc>
        <w:tc>
          <w:tcPr>
            <w:tcW w:w="7142" w:type="dxa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352F" w:rsidP="00C905AC" w:rsidRDefault="00FE352F" w14:paraId="6577F2D5" w14:textId="054431D4"/>
        </w:tc>
      </w:tr>
    </w:tbl>
    <w:p w:rsidR="00711ECC" w:rsidRDefault="00711ECC" w14:paraId="7EF3AE2E" w14:textId="77777777"/>
    <w:sectPr w:rsidR="00711ECC">
      <w:pgSz w:w="15840" w:h="12240" w:orient="portrait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3741"/>
    <w:multiLevelType w:val="hybridMultilevel"/>
    <w:tmpl w:val="FFFFFFFF"/>
    <w:lvl w:ilvl="0" w:tplc="30CEBEB4">
      <w:start w:val="1"/>
      <w:numFmt w:val="bullet"/>
      <w:lvlText w:val="●"/>
      <w:lvlJc w:val="left"/>
      <w:pPr>
        <w:ind w:left="720" w:hanging="360"/>
      </w:pPr>
    </w:lvl>
    <w:lvl w:ilvl="1" w:tplc="714E2D96">
      <w:start w:val="1"/>
      <w:numFmt w:val="bullet"/>
      <w:lvlText w:val="○"/>
      <w:lvlJc w:val="left"/>
      <w:pPr>
        <w:ind w:left="1440" w:hanging="360"/>
      </w:pPr>
    </w:lvl>
    <w:lvl w:ilvl="2" w:tplc="19AC5802">
      <w:start w:val="1"/>
      <w:numFmt w:val="bullet"/>
      <w:lvlText w:val="■"/>
      <w:lvlJc w:val="left"/>
      <w:pPr>
        <w:ind w:left="2160" w:hanging="360"/>
      </w:pPr>
    </w:lvl>
    <w:lvl w:ilvl="3" w:tplc="B89A768A">
      <w:start w:val="1"/>
      <w:numFmt w:val="bullet"/>
      <w:lvlText w:val="●"/>
      <w:lvlJc w:val="left"/>
      <w:pPr>
        <w:ind w:left="2880" w:hanging="360"/>
      </w:pPr>
    </w:lvl>
    <w:lvl w:ilvl="4" w:tplc="06AE8568">
      <w:start w:val="1"/>
      <w:numFmt w:val="bullet"/>
      <w:lvlText w:val="○"/>
      <w:lvlJc w:val="left"/>
      <w:pPr>
        <w:ind w:left="3600" w:hanging="360"/>
      </w:pPr>
    </w:lvl>
    <w:lvl w:ilvl="5" w:tplc="7AEAFCFC">
      <w:start w:val="1"/>
      <w:numFmt w:val="bullet"/>
      <w:lvlText w:val="■"/>
      <w:lvlJc w:val="left"/>
      <w:pPr>
        <w:ind w:left="4320" w:hanging="360"/>
      </w:pPr>
    </w:lvl>
    <w:lvl w:ilvl="6" w:tplc="F1EC84CC">
      <w:start w:val="1"/>
      <w:numFmt w:val="bullet"/>
      <w:lvlText w:val="●"/>
      <w:lvlJc w:val="left"/>
      <w:pPr>
        <w:ind w:left="5040" w:hanging="360"/>
      </w:pPr>
    </w:lvl>
    <w:lvl w:ilvl="7" w:tplc="EF9CD116">
      <w:start w:val="1"/>
      <w:numFmt w:val="bullet"/>
      <w:lvlText w:val="●"/>
      <w:lvlJc w:val="left"/>
      <w:pPr>
        <w:ind w:left="5760" w:hanging="360"/>
      </w:pPr>
    </w:lvl>
    <w:lvl w:ilvl="8" w:tplc="DF847F6E">
      <w:start w:val="1"/>
      <w:numFmt w:val="bullet"/>
      <w:lvlText w:val="●"/>
      <w:lvlJc w:val="left"/>
      <w:pPr>
        <w:ind w:left="6480" w:hanging="360"/>
      </w:pPr>
    </w:lvl>
  </w:abstractNum>
  <w:num w:numId="1" w16cid:durableId="995105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ACA47"/>
    <w:rsid w:val="000742F6"/>
    <w:rsid w:val="000A32CA"/>
    <w:rsid w:val="000D3CB2"/>
    <w:rsid w:val="000E59AC"/>
    <w:rsid w:val="00196969"/>
    <w:rsid w:val="001C6181"/>
    <w:rsid w:val="001D241B"/>
    <w:rsid w:val="001D556F"/>
    <w:rsid w:val="001F3F20"/>
    <w:rsid w:val="00211705"/>
    <w:rsid w:val="002314AC"/>
    <w:rsid w:val="0025498A"/>
    <w:rsid w:val="002654EA"/>
    <w:rsid w:val="00285DA8"/>
    <w:rsid w:val="002B2797"/>
    <w:rsid w:val="002C1B72"/>
    <w:rsid w:val="002D3488"/>
    <w:rsid w:val="00332A37"/>
    <w:rsid w:val="00344EFD"/>
    <w:rsid w:val="0041420C"/>
    <w:rsid w:val="004A7033"/>
    <w:rsid w:val="004B7536"/>
    <w:rsid w:val="004F7189"/>
    <w:rsid w:val="00522DEE"/>
    <w:rsid w:val="00561F83"/>
    <w:rsid w:val="00576730"/>
    <w:rsid w:val="00580244"/>
    <w:rsid w:val="00580835"/>
    <w:rsid w:val="00584356"/>
    <w:rsid w:val="005C1C59"/>
    <w:rsid w:val="005D218E"/>
    <w:rsid w:val="005F2398"/>
    <w:rsid w:val="00603EE0"/>
    <w:rsid w:val="0063755B"/>
    <w:rsid w:val="006419A3"/>
    <w:rsid w:val="00651169"/>
    <w:rsid w:val="00652E4D"/>
    <w:rsid w:val="006742F0"/>
    <w:rsid w:val="006767AE"/>
    <w:rsid w:val="00686E0D"/>
    <w:rsid w:val="006B1485"/>
    <w:rsid w:val="006B6410"/>
    <w:rsid w:val="006C5BD2"/>
    <w:rsid w:val="00711ECC"/>
    <w:rsid w:val="00724CA4"/>
    <w:rsid w:val="00726574"/>
    <w:rsid w:val="00731171"/>
    <w:rsid w:val="00741C4E"/>
    <w:rsid w:val="00745813"/>
    <w:rsid w:val="007475C6"/>
    <w:rsid w:val="00752EE4"/>
    <w:rsid w:val="00774228"/>
    <w:rsid w:val="007A02AE"/>
    <w:rsid w:val="007D45C3"/>
    <w:rsid w:val="007D5C64"/>
    <w:rsid w:val="00822A3E"/>
    <w:rsid w:val="008763B0"/>
    <w:rsid w:val="0088265C"/>
    <w:rsid w:val="00890815"/>
    <w:rsid w:val="00895E2D"/>
    <w:rsid w:val="008D4847"/>
    <w:rsid w:val="00950C5D"/>
    <w:rsid w:val="00961FBF"/>
    <w:rsid w:val="00962023"/>
    <w:rsid w:val="00997CC5"/>
    <w:rsid w:val="009C0C30"/>
    <w:rsid w:val="009D78B8"/>
    <w:rsid w:val="009F79BD"/>
    <w:rsid w:val="00A13FCF"/>
    <w:rsid w:val="00A5068B"/>
    <w:rsid w:val="00A721FE"/>
    <w:rsid w:val="00A94BE9"/>
    <w:rsid w:val="00B3497C"/>
    <w:rsid w:val="00B42938"/>
    <w:rsid w:val="00B56307"/>
    <w:rsid w:val="00BD3FC4"/>
    <w:rsid w:val="00BE62B8"/>
    <w:rsid w:val="00BF28C0"/>
    <w:rsid w:val="00C52A08"/>
    <w:rsid w:val="00C551E5"/>
    <w:rsid w:val="00C905AC"/>
    <w:rsid w:val="00C966BD"/>
    <w:rsid w:val="00CB0C4D"/>
    <w:rsid w:val="00CB1A72"/>
    <w:rsid w:val="00CB282D"/>
    <w:rsid w:val="00CD1942"/>
    <w:rsid w:val="00D54AF5"/>
    <w:rsid w:val="00DC0F2F"/>
    <w:rsid w:val="00DC0FF0"/>
    <w:rsid w:val="00DD1793"/>
    <w:rsid w:val="00DE627F"/>
    <w:rsid w:val="00E0069C"/>
    <w:rsid w:val="00E41BBF"/>
    <w:rsid w:val="00E431BE"/>
    <w:rsid w:val="00E7375E"/>
    <w:rsid w:val="00E82B36"/>
    <w:rsid w:val="00E95F31"/>
    <w:rsid w:val="00EC5DC1"/>
    <w:rsid w:val="00F5352F"/>
    <w:rsid w:val="00F71E53"/>
    <w:rsid w:val="00FA045C"/>
    <w:rsid w:val="00FA5FE8"/>
    <w:rsid w:val="00FD25D0"/>
    <w:rsid w:val="00FE352F"/>
    <w:rsid w:val="00FE7A87"/>
    <w:rsid w:val="0CD9E41B"/>
    <w:rsid w:val="2AEFA6E2"/>
    <w:rsid w:val="3A9FB775"/>
    <w:rsid w:val="524B0F1F"/>
    <w:rsid w:val="6FDACA47"/>
    <w:rsid w:val="76FDE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575A"/>
  <w15:docId w15:val="{439B7424-E5D6-48E4-AC83-0DF2543A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AE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AE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AE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6767A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67AE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767AE"/>
    <w:rPr>
      <w:i/>
      <w:iCs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767AE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767A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767A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6767AE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AE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67AE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6767AE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6767AE"/>
  </w:style>
  <w:style w:type="paragraph" w:styleId="Quote">
    <w:name w:val="Quote"/>
    <w:basedOn w:val="Normal"/>
    <w:next w:val="Normal"/>
    <w:link w:val="QuoteChar"/>
    <w:uiPriority w:val="29"/>
    <w:qFormat/>
    <w:rsid w:val="006767A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767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6767A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AE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6767AE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767A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767A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67AE"/>
    <w:pPr>
      <w:keepNext/>
      <w:keepLines/>
      <w:spacing w:before="240"/>
      <w:outlineLvl w:val="9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D54AF5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5c9f65-65fc-47f2-bf9d-3333e2832a3d" xsi:nil="true"/>
    <lcf76f155ced4ddcb4097134ff3c332f xmlns="eff4a732-2530-4cce-b4e2-5dc084cd865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20C60D8F89F54990320F1C9D28681F" ma:contentTypeVersion="18" ma:contentTypeDescription="Create a new document." ma:contentTypeScope="" ma:versionID="feeca64022c62bff96808a3fedc6f34a">
  <xsd:schema xmlns:xsd="http://www.w3.org/2001/XMLSchema" xmlns:xs="http://www.w3.org/2001/XMLSchema" xmlns:p="http://schemas.microsoft.com/office/2006/metadata/properties" xmlns:ns2="eff4a732-2530-4cce-b4e2-5dc084cd8659" xmlns:ns3="605c9f65-65fc-47f2-bf9d-3333e2832a3d" targetNamespace="http://schemas.microsoft.com/office/2006/metadata/properties" ma:root="true" ma:fieldsID="6685d406fdad7887dd7f1403b03db402" ns2:_="" ns3:_="">
    <xsd:import namespace="eff4a732-2530-4cce-b4e2-5dc084cd8659"/>
    <xsd:import namespace="605c9f65-65fc-47f2-bf9d-3333e2832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4a732-2530-4cce-b4e2-5dc084cd86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e80cb60-49c0-43f9-bb61-5b144f51cd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c9f65-65fc-47f2-bf9d-3333e2832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8077e0-ca24-4430-b340-e0c3c95e5833}" ma:internalName="TaxCatchAll" ma:showField="CatchAllData" ma:web="605c9f65-65fc-47f2-bf9d-3333e2832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DE696-ABA6-4A14-BAF2-61FDA494D6BC}">
  <ds:schemaRefs>
    <ds:schemaRef ds:uri="http://schemas.microsoft.com/office/2006/metadata/properties"/>
    <ds:schemaRef ds:uri="http://schemas.microsoft.com/office/infopath/2007/PartnerControls"/>
    <ds:schemaRef ds:uri="605c9f65-65fc-47f2-bf9d-3333e2832a3d"/>
    <ds:schemaRef ds:uri="eff4a732-2530-4cce-b4e2-5dc084cd8659"/>
  </ds:schemaRefs>
</ds:datastoreItem>
</file>

<file path=customXml/itemProps2.xml><?xml version="1.0" encoding="utf-8"?>
<ds:datastoreItem xmlns:ds="http://schemas.openxmlformats.org/officeDocument/2006/customXml" ds:itemID="{80A936C9-8704-4754-AD5E-786F32FC1C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f4a732-2530-4cce-b4e2-5dc084cd8659"/>
    <ds:schemaRef ds:uri="605c9f65-65fc-47f2-bf9d-3333e2832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D21CDF-EBA4-43A5-A98F-27FC2829B8B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Roberto Beraja, MD</cp:lastModifiedBy>
  <cp:revision>96</cp:revision>
  <dcterms:created xsi:type="dcterms:W3CDTF">2026-09-10T22:10:00Z</dcterms:created>
  <dcterms:modified xsi:type="dcterms:W3CDTF">2026-09-11T02:37:38Z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0x0101005120C60D8F89F54990320F1C9D28681F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MSIP_Label_c1e3ff95-1020-4cb3-9ab8-4c17c0296636_Enabled">
    <vt:lpwstr>true</vt:lpwstr>
  </property>
  <property fmtid="{D5CDD505-2E9C-101B-9397-08002B2CF9AE}" pid="6" name="MSIP_Label_c1e3ff95-1020-4cb3-9ab8-4c17c0296636_SetDate">
    <vt:lpwstr>2026-09-11T01:47:12Z</vt:lpwstr>
  </property>
  <property fmtid="{D5CDD505-2E9C-101B-9397-08002B2CF9AE}" pid="7" name="MSIP_Label_c1e3ff95-1020-4cb3-9ab8-4c17c0296636_Method">
    <vt:lpwstr>Standard</vt:lpwstr>
  </property>
  <property fmtid="{D5CDD505-2E9C-101B-9397-08002B2CF9AE}" pid="8" name="MSIP_Label_c1e3ff95-1020-4cb3-9ab8-4c17c0296636_Name">
    <vt:lpwstr>General</vt:lpwstr>
  </property>
  <property fmtid="{D5CDD505-2E9C-101B-9397-08002B2CF9AE}" pid="9" name="MSIP_Label_c1e3ff95-1020-4cb3-9ab8-4c17c0296636_SiteId">
    <vt:lpwstr>af411db2-f750-4572-8727-c6f1ad0848ef</vt:lpwstr>
  </property>
  <property fmtid="{D5CDD505-2E9C-101B-9397-08002B2CF9AE}" pid="10" name="MSIP_Label_c1e3ff95-1020-4cb3-9ab8-4c17c0296636_ActionId">
    <vt:lpwstr>d08924e0-f788-4d82-abd0-dddbc66261a3</vt:lpwstr>
  </property>
  <property fmtid="{D5CDD505-2E9C-101B-9397-08002B2CF9AE}" pid="11" name="MSIP_Label_c1e3ff95-1020-4cb3-9ab8-4c17c0296636_ContentBits">
    <vt:lpwstr>0</vt:lpwstr>
  </property>
  <property fmtid="{D5CDD505-2E9C-101B-9397-08002B2CF9AE}" pid="12" name="MSIP_Label_c1e3ff95-1020-4cb3-9ab8-4c17c0296636_Tag">
    <vt:lpwstr>10, 3, 0, 1</vt:lpwstr>
  </property>
</Properties>
</file>