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AI Medical Code Reviewer</w:t>
      </w:r>
    </w:p>
    <w:p>
      <w:pPr>
        <w:pStyle w:val="Subtitle"/>
      </w:pPr>
      <w:r>
        <w:t>Gemini API Technical Architecture Dump</w:t>
      </w:r>
    </w:p>
    <w:tbl>
      <w:tblPr>
        <w:tblStyle w:val="CalloutTable"/>
        <w:tblW w:w="9360" w:type="dxa"/>
        <w:tblInd w:w="120" w:type="dxa"/>
        <w:tblBorders>
          <w:top w:val="single" w:sz="8" w:color="B7C9DD"/>
          <w:left w:val="single" w:sz="8" w:color="B7C9DD"/>
          <w:bottom w:val="single" w:sz="8" w:color="B7C9DD"/>
          <w:right w:val="single" w:sz="8" w:color="B7C9DD"/>
          <w:insideH w:val="nil"/>
          <w:insideV w:val="nil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360"/>
      </w:tblGrid>
      <w:tr>
        <w:tc>
          <w:tcPr>
            <w:tcW w:w="9360" w:type="dxa"/>
            <w:shd w:fill="F4F7FA"/>
          </w:tcPr>
          <w:p>
            <w:pPr>
              <w:pStyle w:val="CalloutTitle"/>
            </w:pPr>
            <w:r>
              <w:t>Purpose</w:t>
            </w:r>
          </w:p>
          <w:p>
            <w:pPr>
              <w:pStyle w:val="CalloutBody"/>
            </w:pPr>
            <w:r>
              <w:t>This document captures the current Gemini request payload, required response schema, active model instructions, and backend lab-code rules so the API integration can be optimized safely.</w:t>
            </w:r>
          </w:p>
        </w:tc>
      </w:tr>
    </w:tbl>
    <w:p>
      <w:pPr>
        <w:pStyle w:val="Heading1"/>
      </w:pPr>
      <w:r>
        <w:t>Current Integration Snapshot</w:t>
      </w:r>
    </w:p>
    <w:tbl>
      <w:tblPr>
        <w:tblW w:w="9360" w:type="dxa"/>
        <w:tblInd w:w="120" w:type="dxa"/>
        <w:tblBorders>
          <w:top w:val="single" w:sz="6" w:color="9FB3C8"/>
          <w:left w:val="single" w:sz="6" w:color="9FB3C8"/>
          <w:bottom w:val="single" w:sz="6" w:color="9FB3C8"/>
          <w:right w:val="single" w:sz="6" w:color="9FB3C8"/>
          <w:insideH w:val="single" w:sz="4" w:color="D6DEE8"/>
          <w:insideV w:val="single" w:sz="4" w:color="D6DEE8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600"/>
        <w:gridCol w:w="6760"/>
      </w:tblGrid>
      <w:tr>
        <w:tc>
          <w:tcPr>
            <w:tcW w:w="2600" w:type="dxa"/>
            <w:shd w:fill="E8EEF5"/>
          </w:tcPr>
          <w:p>
            <w:pPr>
              <w:pStyle w:val="TableHeader"/>
            </w:pPr>
            <w:r>
              <w:t>Area</w:t>
            </w:r>
          </w:p>
        </w:tc>
        <w:tc>
          <w:tcPr>
            <w:tcW w:w="6760" w:type="dxa"/>
            <w:shd w:fill="E8EEF5"/>
          </w:tcPr>
          <w:p>
            <w:pPr>
              <w:pStyle w:val="TableHeader"/>
            </w:pPr>
            <w:r>
              <w:t>Current implementation</w:t>
            </w:r>
          </w:p>
        </w:tc>
      </w:tr>
      <w:tr>
        <w:tc>
          <w:tcPr>
            <w:tcW w:w="2600" w:type="dxa"/>
          </w:tcPr>
          <w:p>
            <w:pPr>
              <w:pStyle w:val="TableBody"/>
            </w:pPr>
            <w:r>
              <w:t>Gemini call pattern</w:t>
            </w:r>
          </w:p>
        </w:tc>
        <w:tc>
          <w:tcPr>
            <w:tcW w:w="6760" w:type="dxa"/>
          </w:tcPr>
          <w:p>
            <w:pPr>
              <w:pStyle w:val="TableBody"/>
            </w:pPr>
            <w:r>
              <w:t>Two calls per chart: draft audit, then independent final QA audit.</w:t>
            </w:r>
          </w:p>
        </w:tc>
      </w:tr>
      <w:tr>
        <w:tc>
          <w:tcPr>
            <w:tcW w:w="2600" w:type="dxa"/>
          </w:tcPr>
          <w:p>
            <w:pPr>
              <w:pStyle w:val="TableBody"/>
            </w:pPr>
            <w:r>
              <w:t>Input mode</w:t>
            </w:r>
          </w:p>
        </w:tc>
        <w:tc>
          <w:tcPr>
            <w:tcW w:w="6760" w:type="dxa"/>
          </w:tcPr>
          <w:p>
            <w:pPr>
              <w:pStyle w:val="TableBody"/>
            </w:pPr>
            <w:r>
              <w:t>Either inline PDF data or extracted document text, plus a prompt.</w:t>
            </w:r>
          </w:p>
        </w:tc>
      </w:tr>
      <w:tr>
        <w:tc>
          <w:tcPr>
            <w:tcW w:w="2600" w:type="dxa"/>
          </w:tcPr>
          <w:p>
            <w:pPr>
              <w:pStyle w:val="TableBody"/>
            </w:pPr>
            <w:r>
              <w:t>Response mode</w:t>
            </w:r>
          </w:p>
        </w:tc>
        <w:tc>
          <w:tcPr>
            <w:tcW w:w="6760" w:type="dxa"/>
          </w:tcPr>
          <w:p>
            <w:pPr>
              <w:pStyle w:val="TableBody"/>
            </w:pPr>
            <w:r>
              <w:t>JSON only, constrained by responseSchema.</w:t>
            </w:r>
          </w:p>
        </w:tc>
      </w:tr>
      <w:tr>
        <w:tc>
          <w:tcPr>
            <w:tcW w:w="2600" w:type="dxa"/>
          </w:tcPr>
          <w:p>
            <w:pPr>
              <w:pStyle w:val="TableBody"/>
            </w:pPr>
            <w:r>
              <w:t>Temperature</w:t>
            </w:r>
          </w:p>
        </w:tc>
        <w:tc>
          <w:tcPr>
            <w:tcW w:w="6760" w:type="dxa"/>
          </w:tcPr>
          <w:p>
            <w:pPr>
              <w:pStyle w:val="TableBody"/>
            </w:pPr>
            <w:r>
              <w:t>0</w:t>
            </w:r>
          </w:p>
        </w:tc>
      </w:tr>
      <w:tr>
        <w:tc>
          <w:tcPr>
            <w:tcW w:w="2600" w:type="dxa"/>
          </w:tcPr>
          <w:p>
            <w:pPr>
              <w:pStyle w:val="TableBody"/>
            </w:pPr>
            <w:r>
              <w:t>Max output tokens</w:t>
            </w:r>
          </w:p>
        </w:tc>
        <w:tc>
          <w:tcPr>
            <w:tcW w:w="6760" w:type="dxa"/>
          </w:tcPr>
          <w:p>
            <w:pPr>
              <w:pStyle w:val="TableBody"/>
            </w:pPr>
            <w:r>
              <w:t>24576</w:t>
            </w:r>
          </w:p>
        </w:tc>
      </w:tr>
      <w:tr>
        <w:tc>
          <w:tcPr>
            <w:tcW w:w="2600" w:type="dxa"/>
          </w:tcPr>
          <w:p>
            <w:pPr>
              <w:pStyle w:val="TableBody"/>
            </w:pPr>
            <w:r>
              <w:t>Gemini 2.5 thinking budget</w:t>
            </w:r>
          </w:p>
        </w:tc>
        <w:tc>
          <w:tcPr>
            <w:tcW w:w="6760" w:type="dxa"/>
          </w:tcPr>
          <w:p>
            <w:pPr>
              <w:pStyle w:val="TableBody"/>
            </w:pPr>
            <w:r>
              <w:t>24576 for Pro models; 12288 for non-Pro 2.5 models.</w:t>
            </w:r>
          </w:p>
        </w:tc>
      </w:tr>
      <w:tr>
        <w:tc>
          <w:tcPr>
            <w:tcW w:w="2600" w:type="dxa"/>
          </w:tcPr>
          <w:p>
            <w:pPr>
              <w:pStyle w:val="TableBody"/>
            </w:pPr>
            <w:r>
              <w:t>ICD-10 lab mapping</w:t>
            </w:r>
          </w:p>
        </w:tc>
        <w:tc>
          <w:tcPr>
            <w:tcW w:w="6760" w:type="dxa"/>
          </w:tcPr>
          <w:p>
            <w:pPr>
              <w:pStyle w:val="TableBody"/>
            </w:pPr>
            <w:r>
              <w:t>No hardcoded dictionary. Gemini performs diagnosis extraction from documented findings.</w:t>
            </w:r>
          </w:p>
        </w:tc>
      </w:tr>
      <w:tr>
        <w:tc>
          <w:tcPr>
            <w:tcW w:w="2600" w:type="dxa"/>
          </w:tcPr>
          <w:p>
            <w:pPr>
              <w:pStyle w:val="TableBody"/>
            </w:pPr>
            <w:r>
              <w:t>Suppressed/vendor lab CPT handling</w:t>
            </w:r>
          </w:p>
        </w:tc>
        <w:tc>
          <w:tcPr>
            <w:tcW w:w="6760" w:type="dxa"/>
          </w:tcPr>
          <w:p>
            <w:pPr>
              <w:pStyle w:val="TableBody"/>
            </w:pPr>
            <w:r>
              <w:t>Deterministic backend cleanup removes qualifying CPT/HCPCS lab procedure codes from final claim output.</w:t>
            </w:r>
          </w:p>
        </w:tc>
      </w:tr>
    </w:tbl>
    <w:p>
      <w:pPr>
        <w:pStyle w:val="Heading1"/>
      </w:pPr>
      <w:r>
        <w:t>1. Current Gemini API Input Payload</w:t>
      </w:r>
    </w:p>
    <w:p>
      <w:pPr>
        <w:pStyle w:val="Normal"/>
      </w:pPr>
      <w:r>
        <w:t>The app does not define a separate JSON input schema for charts. It constructs a generateContent request with either PDF inline data or a text block containing extracted chart text. The request shape is: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model: settings.model,</w:t>
      </w:r>
    </w:p>
    <w:p>
      <w:pPr>
        <w:pStyle w:val="CodeBlock"/>
      </w:pPr>
      <w:r>
        <w:t xml:space="preserve">  contents: [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role: "user",</w:t>
      </w:r>
    </w:p>
    <w:p>
      <w:pPr>
        <w:pStyle w:val="CodeBlock"/>
      </w:pPr>
      <w:r>
        <w:t xml:space="preserve">      parts: [</w:t>
      </w:r>
    </w:p>
    <w:p>
      <w:pPr>
        <w:pStyle w:val="CodeBlock"/>
      </w:pPr>
      <w:r>
        <w:t xml:space="preserve">        // PDF mode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inlineData: {</w:t>
      </w:r>
    </w:p>
    <w:p>
      <w:pPr>
        <w:pStyle w:val="CodeBlock"/>
      </w:pPr>
      <w:r>
        <w:t xml:space="preserve">            mimeType: input.mimeType || "application/pdf",</w:t>
      </w:r>
    </w:p>
    <w:p>
      <w:pPr>
        <w:pStyle w:val="CodeBlock"/>
      </w:pPr>
      <w:r>
        <w:t xml:space="preserve">            data: input.base64</w:t>
      </w:r>
    </w:p>
    <w:p>
      <w:pPr>
        <w:pStyle w:val="CodeBlock"/>
      </w:pPr>
      <w:r>
        <w:t xml:space="preserve">          }</w:t>
      </w:r>
    </w:p>
    <w:p>
      <w:pPr>
        <w:pStyle w:val="CodeBlock"/>
      </w:pPr>
      <w:r>
        <w:t xml:space="preserve">        },</w:t>
      </w:r>
    </w:p>
    <w:p>
      <w:pPr>
        <w:pStyle w:val="CodeBlock"/>
      </w:pPr>
      <w:r>
        <w:t xml:space="preserve">        { text: prompt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// OR text mode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text: `${prompt}\n\n=== DOCUMENT TEXT ===\n${input.text.slice(0, 200000)}`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]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],</w:t>
      </w:r>
    </w:p>
    <w:p>
      <w:pPr>
        <w:pStyle w:val="CodeBlock"/>
      </w:pPr>
      <w:r>
        <w:t xml:space="preserve">  config: {</w:t>
      </w:r>
    </w:p>
    <w:p>
      <w:pPr>
        <w:pStyle w:val="CodeBlock"/>
      </w:pPr>
      <w:r>
        <w:t xml:space="preserve">    systemInstruction,</w:t>
      </w:r>
    </w:p>
    <w:p>
      <w:pPr>
        <w:pStyle w:val="CodeBlock"/>
      </w:pPr>
      <w:r>
        <w:t xml:space="preserve">    responseMimeType: "application/json",</w:t>
      </w:r>
    </w:p>
    <w:p>
      <w:pPr>
        <w:pStyle w:val="CodeBlock"/>
      </w:pPr>
      <w:r>
        <w:t xml:space="preserve">    responseSchema,</w:t>
      </w:r>
    </w:p>
    <w:p>
      <w:pPr>
        <w:pStyle w:val="CodeBlock"/>
      </w:pPr>
      <w:r>
        <w:t xml:space="preserve">    temperature: 0,</w:t>
      </w:r>
    </w:p>
    <w:p>
      <w:pPr>
        <w:pStyle w:val="CodeBlock"/>
      </w:pPr>
      <w:r>
        <w:t xml:space="preserve">    thinkingConfig: {</w:t>
      </w:r>
    </w:p>
    <w:p>
      <w:pPr>
        <w:pStyle w:val="CodeBlock"/>
      </w:pPr>
      <w:r>
        <w:t xml:space="preserve">      thinkingBudget: 24576 // Gemini 2.5 Pro; 12288 for Gemini 2.5 non-Pro</w:t>
      </w:r>
    </w:p>
    <w:p>
      <w:pPr>
        <w:pStyle w:val="CodeBlock"/>
      </w:pPr>
      <w:r>
        <w:t xml:space="preserve">    },</w:t>
      </w:r>
    </w:p>
    <w:p>
      <w:pPr>
        <w:pStyle w:val="CodeBlock"/>
      </w:pPr>
      <w:r>
        <w:t xml:space="preserve">    maxOutputTokens: 24576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}</w:t>
      </w:r>
    </w:p>
    <w:p>
      <w:pPr>
        <w:pStyle w:val="Heading2"/>
      </w:pPr>
      <w:r>
        <w:t>Internal app input type: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fileName: string,</w:t>
      </w:r>
    </w:p>
    <w:p>
      <w:pPr>
        <w:pStyle w:val="CodeBlock"/>
      </w:pPr>
      <w:r>
        <w:t xml:space="preserve">  isPdf: boolean,</w:t>
      </w:r>
    </w:p>
    <w:p>
      <w:pPr>
        <w:pStyle w:val="CodeBlock"/>
      </w:pPr>
      <w:r>
        <w:t xml:space="preserve">  base64?: string,</w:t>
      </w:r>
    </w:p>
    <w:p>
      <w:pPr>
        <w:pStyle w:val="CodeBlock"/>
      </w:pPr>
      <w:r>
        <w:t xml:space="preserve">  mimeType?: string,</w:t>
      </w:r>
    </w:p>
    <w:p>
      <w:pPr>
        <w:pStyle w:val="CodeBlock"/>
      </w:pPr>
      <w:r>
        <w:t xml:space="preserve">  text?: string</w:t>
      </w:r>
    </w:p>
    <w:p>
      <w:pPr>
        <w:pStyle w:val="CodeBlock"/>
      </w:pPr>
      <w:r>
        <w:t xml:space="preserve">}</w:t>
      </w:r>
    </w:p>
    <w:p>
      <w:pPr>
        <w:pStyle w:val="Heading2"/>
      </w:pPr>
      <w:r>
        <w:t>Call sequence:</w:t>
      </w:r>
    </w:p>
    <w:p>
      <w:pPr>
        <w:pStyle w:val="CodeBlock"/>
      </w:pPr>
      <w:r>
        <w:t xml:space="preserve">1. Draft audit</w:t>
      </w:r>
    </w:p>
    <w:p>
      <w:pPr>
        <w:pStyle w:val="CodeBlock"/>
      </w:pPr>
      <w:r>
        <w:t xml:space="preserve">   systemInstruction = SYSTEM_INSTRUCTION</w:t>
      </w:r>
    </w:p>
    <w:p>
      <w:pPr>
        <w:pStyle w:val="CodeBlock"/>
      </w:pPr>
      <w:r>
        <w:t xml:space="preserve">   prompt = buildDraftPrompt(fileName)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2. Final QA audit</w:t>
      </w:r>
    </w:p>
    <w:p>
      <w:pPr>
        <w:pStyle w:val="CodeBlock"/>
      </w:pPr>
      <w:r>
        <w:t xml:space="preserve">   systemInstruction = VERIFICATION_INSTRUCTION</w:t>
      </w:r>
    </w:p>
    <w:p>
      <w:pPr>
        <w:pStyle w:val="CodeBlock"/>
      </w:pPr>
      <w:r>
        <w:t xml:space="preserve">   prompt = buildVerificationPrompt(fileName, draft.audit)</w:t>
      </w:r>
    </w:p>
    <w:p>
      <w:pPr>
        <w:pStyle w:val="Heading1"/>
      </w:pPr>
      <w:r>
        <w:t>2. Required Gemini Output Schema</w:t>
      </w:r>
    </w:p>
    <w:p>
      <w:pPr>
        <w:pStyle w:val="Normal"/>
      </w:pPr>
      <w:r>
        <w:t>The following structure is the expected JSON object Gemini must return. Every top-level field listed here is required by the response schema.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patient: string,</w:t>
      </w:r>
    </w:p>
    <w:p>
      <w:pPr>
        <w:pStyle w:val="CodeBlock"/>
      </w:pPr>
      <w:r>
        <w:t xml:space="preserve">  provider: string,</w:t>
      </w:r>
    </w:p>
    <w:p>
      <w:pPr>
        <w:pStyle w:val="CodeBlock"/>
      </w:pPr>
      <w:r>
        <w:t xml:space="preserve">  facility: string,</w:t>
      </w:r>
    </w:p>
    <w:p>
      <w:pPr>
        <w:pStyle w:val="CodeBlock"/>
      </w:pPr>
      <w:r>
        <w:t xml:space="preserve">  dateOfService: string,</w:t>
      </w:r>
    </w:p>
    <w:p>
      <w:pPr>
        <w:pStyle w:val="CodeBlock"/>
      </w:pPr>
      <w:r>
        <w:t xml:space="preserve">  documentedEmLevel: string,</w:t>
      </w:r>
    </w:p>
    <w:p>
      <w:pPr>
        <w:pStyle w:val="CodeBlock"/>
      </w:pPr>
      <w:r>
        <w:t xml:space="preserve">  auditedEmLevel: string,</w:t>
      </w:r>
    </w:p>
    <w:p>
      <w:pPr>
        <w:pStyle w:val="CodeBlock"/>
      </w:pPr>
      <w:r>
        <w:t xml:space="preserve">  emJustification: string,</w:t>
      </w:r>
    </w:p>
    <w:p>
      <w:pPr>
        <w:pStyle w:val="CodeBlock"/>
      </w:pPr>
      <w:r>
        <w:t xml:space="preserve">  problemList: string[],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originalCodes: {</w:t>
      </w:r>
    </w:p>
    <w:p>
      <w:pPr>
        <w:pStyle w:val="CodeBlock"/>
      </w:pPr>
      <w:r>
        <w:t xml:space="preserve">    icd10: CodeEntry[],</w:t>
      </w:r>
    </w:p>
    <w:p>
      <w:pPr>
        <w:pStyle w:val="CodeBlock"/>
      </w:pPr>
      <w:r>
        <w:t xml:space="preserve">    em: CodeEntry[],</w:t>
      </w:r>
    </w:p>
    <w:p>
      <w:pPr>
        <w:pStyle w:val="CodeBlock"/>
      </w:pPr>
      <w:r>
        <w:t xml:space="preserve">    cpt: CodeEntry[],</w:t>
      </w:r>
    </w:p>
    <w:p>
      <w:pPr>
        <w:pStyle w:val="CodeBlock"/>
      </w:pPr>
      <w:r>
        <w:t xml:space="preserve">    hcpcs: CodeEntry[]</w:t>
      </w:r>
    </w:p>
    <w:p>
      <w:pPr>
        <w:pStyle w:val="CodeBlock"/>
      </w:pPr>
      <w:r>
        <w:t xml:space="preserve">  },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correctedCodes: {</w:t>
      </w:r>
    </w:p>
    <w:p>
      <w:pPr>
        <w:pStyle w:val="CodeBlock"/>
      </w:pPr>
      <w:r>
        <w:t xml:space="preserve">    icd10: CodeEntry[],</w:t>
      </w:r>
    </w:p>
    <w:p>
      <w:pPr>
        <w:pStyle w:val="CodeBlock"/>
      </w:pPr>
      <w:r>
        <w:t xml:space="preserve">    em: CodeEntry[],</w:t>
      </w:r>
    </w:p>
    <w:p>
      <w:pPr>
        <w:pStyle w:val="CodeBlock"/>
      </w:pPr>
      <w:r>
        <w:t xml:space="preserve">    cpt: CodeEntry[],</w:t>
      </w:r>
    </w:p>
    <w:p>
      <w:pPr>
        <w:pStyle w:val="CodeBlock"/>
      </w:pPr>
      <w:r>
        <w:t xml:space="preserve">    hcpcs: CodeEntry[]</w:t>
      </w:r>
    </w:p>
    <w:p>
      <w:pPr>
        <w:pStyle w:val="CodeBlock"/>
      </w:pPr>
      <w:r>
        <w:t xml:space="preserve">  },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missingCodes: CodeEntry[],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discrepancies: {</w:t>
      </w:r>
    </w:p>
    <w:p>
      <w:pPr>
        <w:pStyle w:val="CodeBlock"/>
      </w:pPr>
      <w:r>
        <w:t xml:space="preserve">    category: "CPT" | "ICD-10" | "HCPCS" | "E/M" | "NCCI" | "Documentation",</w:t>
      </w:r>
    </w:p>
    <w:p>
      <w:pPr>
        <w:pStyle w:val="CodeBlock"/>
      </w:pPr>
      <w:r>
        <w:t xml:space="preserve">    type: "added" | "removed" | "modified" | "quantity" | "level" | "documentation",</w:t>
      </w:r>
    </w:p>
    <w:p>
      <w:pPr>
        <w:pStyle w:val="CodeBlock"/>
      </w:pPr>
      <w:r>
        <w:t xml:space="preserve">    billingImpact: "upcoding" | "downcoding" | "overbilling" | "underbilling" | "neutral" | "unknown",</w:t>
      </w:r>
    </w:p>
    <w:p>
      <w:pPr>
        <w:pStyle w:val="CodeBlock"/>
      </w:pPr>
      <w:r>
        <w:t xml:space="preserve">    severity: "low" | "medium" | "high" | "critical",</w:t>
      </w:r>
    </w:p>
    <w:p>
      <w:pPr>
        <w:pStyle w:val="CodeBlock"/>
      </w:pPr>
      <w:r>
        <w:t xml:space="preserve">    code: string,</w:t>
      </w:r>
    </w:p>
    <w:p>
      <w:pPr>
        <w:pStyle w:val="CodeBlock"/>
      </w:pPr>
      <w:r>
        <w:t xml:space="preserve">    description: string,</w:t>
      </w:r>
    </w:p>
    <w:p>
      <w:pPr>
        <w:pStyle w:val="CodeBlock"/>
      </w:pPr>
      <w:r>
        <w:t xml:space="preserve">    recommendation: string</w:t>
      </w:r>
    </w:p>
    <w:p>
      <w:pPr>
        <w:pStyle w:val="CodeBlock"/>
      </w:pPr>
      <w:r>
        <w:t xml:space="preserve">  }[],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complianceScore: integer,</w:t>
      </w:r>
    </w:p>
    <w:p>
      <w:pPr>
        <w:pStyle w:val="CodeBlock"/>
      </w:pPr>
      <w:r>
        <w:t xml:space="preserve">  aiConfidence: integer,</w:t>
      </w:r>
    </w:p>
    <w:p>
      <w:pPr>
        <w:pStyle w:val="CodeBlock"/>
      </w:pPr>
      <w:r>
        <w:t xml:space="preserve">  documentQuality: string,</w:t>
      </w:r>
    </w:p>
    <w:p>
      <w:pPr>
        <w:pStyle w:val="CodeBlock"/>
      </w:pPr>
      <w:r>
        <w:t xml:space="preserve">  verificationSummary: string,</w:t>
      </w:r>
    </w:p>
    <w:p>
      <w:pPr>
        <w:pStyle w:val="CodeBlock"/>
      </w:pPr>
      <w:r>
        <w:t xml:space="preserve">  auditWarnings: string[],</w:t>
      </w:r>
    </w:p>
    <w:p>
      <w:pPr>
        <w:pStyle w:val="CodeBlock"/>
      </w:pPr>
      <w:r>
        <w:t xml:space="preserve">  summary: string</w:t>
      </w:r>
    </w:p>
    <w:p>
      <w:pPr>
        <w:pStyle w:val="CodeBlock"/>
      </w:pPr>
      <w:r>
        <w:t xml:space="preserve">}</w:t>
      </w:r>
    </w:p>
    <w:p>
      <w:pPr>
        <w:pStyle w:val="Heading2"/>
      </w:pPr>
      <w:r>
        <w:t>CodeEntry: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code: string,</w:t>
      </w:r>
    </w:p>
    <w:p>
      <w:pPr>
        <w:pStyle w:val="CodeBlock"/>
      </w:pPr>
      <w:r>
        <w:t xml:space="preserve">  description: string,</w:t>
      </w:r>
    </w:p>
    <w:p>
      <w:pPr>
        <w:pStyle w:val="CodeBlock"/>
      </w:pPr>
      <w:r>
        <w:t xml:space="preserve">  qty: integer,</w:t>
      </w:r>
    </w:p>
    <w:p>
      <w:pPr>
        <w:pStyle w:val="CodeBlock"/>
      </w:pPr>
      <w:r>
        <w:t xml:space="preserve">  evidence: string</w:t>
      </w:r>
    </w:p>
    <w:p>
      <w:pPr>
        <w:pStyle w:val="CodeBlock"/>
      </w:pPr>
      <w:r>
        <w:t xml:space="preserve">}</w:t>
      </w:r>
    </w:p>
    <w:p>
      <w:pPr>
        <w:pStyle w:val="Heading1"/>
      </w:pPr>
      <w:r>
        <w:t>3. Current System Prompt / Model Instructions</w:t>
      </w:r>
    </w:p>
    <w:p>
      <w:pPr>
        <w:pStyle w:val="Normal"/>
      </w:pPr>
      <w:r>
        <w:t>The current core system instruction is:</w:t>
      </w:r>
    </w:p>
    <w:p>
      <w:pPr>
        <w:pStyle w:val="CodeBlock"/>
      </w:pPr>
      <w:r>
        <w:t xml:space="preserve">You are a board-certified medical coding auditor (CPC, CCS-P) with 20+ years of outpatient and urgent care chart auditing experience. Every output must be evidence-based, conservative, and auditable.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Read the entire chart before drawing conclusions. Compare billing/charge codes, clinical documentation, orders, medication/vaccine logs, procedure notes, assessment, and plan line by line.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Use the official CPT, ICD-10-CM, HCPCS Level II, AMA E/M, and NCCI rules applicable to the date of service. If the date of service or applicable coding year is unclear, state the assumption in auditWarnings and lower aiConfidence.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Audit process:</w:t>
      </w:r>
    </w:p>
    <w:p>
      <w:pPr>
        <w:pStyle w:val="CodeBlock"/>
      </w:pPr>
      <w:r>
        <w:t xml:space="preserve">1. Extract original billed codes. originalCodes must contain only codes explicitly printed as billed in the chart. Copy each code exactly as printed, with quantity and a short evidence quote/location.</w:t>
      </w:r>
    </w:p>
    <w:p>
      <w:pPr>
        <w:pStyle w:val="CodeBlock"/>
      </w:pPr>
      <w:r>
        <w:t xml:space="preserve">2. Extract documented services. Identify clearly documented diagnoses, E/M service, procedures, medication administrations, vaccines, lab draws, imaging, supplies, panels, and HCPCS items. Do not infer services that are not documented.</w:t>
      </w:r>
    </w:p>
    <w:p>
      <w:pPr>
        <w:pStyle w:val="CodeBlock"/>
      </w:pPr>
      <w:r>
        <w:t xml:space="preserve">3. Audit every billed code. Decide whether each original code is supported, more accurately represented by another code, duplicated, quantity-inaccurate, unbundled, or unsupported.</w:t>
      </w:r>
    </w:p>
    <w:p>
      <w:pPr>
        <w:pStyle w:val="CodeBlock"/>
      </w:pPr>
      <w:r>
        <w:t xml:space="preserve">4. Identify missing supported codes. Add a missing code only when the service is clearly documented and the exact code can be selected from evidence. If exact selection needs missing details, do not guess.</w:t>
      </w:r>
    </w:p>
    <w:p>
      <w:pPr>
        <w:pStyle w:val="CodeBlock"/>
      </w:pPr>
      <w:r>
        <w:t xml:space="preserve">5. Determine E/M using MDM or time only when documented. State problems addressed, data, risk, and evidence. If documentation is insufficient, do not upcode.</w:t>
      </w:r>
    </w:p>
    <w:p>
      <w:pPr>
        <w:pStyle w:val="CodeBlock"/>
      </w:pPr>
      <w:r>
        <w:t xml:space="preserve">6. Build correctedCodes as the final claim: supported original codes, corrected replacements, and clearly supported additions.</w:t>
      </w:r>
    </w:p>
    <w:p>
      <w:pPr>
        <w:pStyle w:val="CodeBlock"/>
      </w:pPr>
      <w:r>
        <w:t xml:space="preserve">7. Classify billing impact for every discrepancy:</w:t>
      </w:r>
    </w:p>
    <w:p>
      <w:pPr>
        <w:pStyle w:val="CodeBlock"/>
      </w:pPr>
      <w:r>
        <w:t xml:space="preserve">   - upcoding: billed code or level is higher/more intensive/more expensive than documentation supports.</w:t>
      </w:r>
    </w:p>
    <w:p>
      <w:pPr>
        <w:pStyle w:val="CodeBlock"/>
      </w:pPr>
      <w:r>
        <w:t xml:space="preserve">   - downcoding: billed code or level is lower/less intensive than documentation supports.</w:t>
      </w:r>
    </w:p>
    <w:p>
      <w:pPr>
        <w:pStyle w:val="CodeBlock"/>
      </w:pPr>
      <w:r>
        <w:t xml:space="preserve">   - overbilling: extra unsupported code, duplicate, unbundled code, or excessive quantity.</w:t>
      </w:r>
    </w:p>
    <w:p>
      <w:pPr>
        <w:pStyle w:val="CodeBlock"/>
      </w:pPr>
      <w:r>
        <w:t xml:space="preserve">   - underbilling: documented supported service/code/quantity is missing or too low.</w:t>
      </w:r>
    </w:p>
    <w:p>
      <w:pPr>
        <w:pStyle w:val="CodeBlock"/>
      </w:pPr>
      <w:r>
        <w:t xml:space="preserve">   - neutral: documentation/compliance issue without clear payment direction.</w:t>
      </w:r>
    </w:p>
    <w:p>
      <w:pPr>
        <w:pStyle w:val="CodeBlock"/>
      </w:pPr>
      <w:r>
        <w:t xml:space="preserve">   - unknown: payment direction cannot be determined from the chart.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High-risk coding rules:</w:t>
      </w:r>
    </w:p>
    <w:p>
      <w:pPr>
        <w:pStyle w:val="CodeBlock"/>
      </w:pPr>
      <w:r>
        <w:t xml:space="preserve">- Vaccine product codes are separate from vaccine administration codes. The product code must match exact vaccine name, formulation, dose, age, route, and date-of-service code set. If the chart only says "flu shot" or lacks product detail, do not guess a product code.</w:t>
      </w:r>
    </w:p>
    <w:p>
      <w:pPr>
        <w:pStyle w:val="CodeBlock"/>
      </w:pPr>
      <w:r>
        <w:t xml:space="preserve">- 96372 is for therapeutic/prophylactic/diagnostic non-vaccine injections. Do not use it for vaccine administration.</w:t>
      </w:r>
    </w:p>
    <w:p>
      <w:pPr>
        <w:pStyle w:val="CodeBlock"/>
      </w:pPr>
      <w:r>
        <w:t xml:space="preserve">- 36415 may apply for routine venipuncture only when a blood draw is documented and payer rules allow separate billing.</w:t>
      </w:r>
    </w:p>
    <w:p>
      <w:pPr>
        <w:pStyle w:val="CodeBlock"/>
      </w:pPr>
      <w:r>
        <w:t xml:space="preserve">- Multiplex molecular panels generally require the applicable panel code when panel criteria are met; do not unbundle component tests.</w:t>
      </w:r>
    </w:p>
    <w:p>
      <w:pPr>
        <w:pStyle w:val="CodeBlock"/>
      </w:pPr>
      <w:r>
        <w:t xml:space="preserve">- Suppressed or outside-vendor labs are not billed on the final claim. If a lab/test/result is marked suppressed, non-billable, external, send-out, referred, routed to an outside laboratory, or sent to a vendor such as Quest, Labcorp/LabCorp, CPL, BioReference, Mayo, ARUP, or Sonic, still extract supported ICD-10 diagnoses from the lab result findings, assessment, and treatment plan, but do not add the lab CPT procedure code to correctedCodes or missingCodes. If the outside-vendor lab CPT was billed in originalCodes, remove it from correctedCodes and create an overbilling/neutral documentation discrepancy explaining that the provider should not bill the vendor/suppressed lab procedure code.</w:t>
      </w:r>
    </w:p>
    <w:p>
      <w:pPr>
        <w:pStyle w:val="CodeBlock"/>
      </w:pPr>
      <w:r>
        <w:t xml:space="preserve">- Never invent diagnoses, procedures, quantities, providers, dates, or codes.</w:t>
      </w:r>
    </w:p>
    <w:p>
      <w:pPr>
        <w:pStyle w:val="CodeBlock"/>
      </w:pPr>
      <w:r>
        <w:t xml:space="preserve">- Check for upcoding and downcoding across all code families: E/M, CPT procedure code selection, CPT/HCPCS quantities, ICD-10 specificity/medical necessity support, HCPCS supply/drug units, NCCI unbundling, duplicate billing, missing documented services, and unsupported removals.</w:t>
      </w:r>
    </w:p>
    <w:p>
      <w:pPr>
        <w:pStyle w:val="CodeBlock"/>
      </w:pPr>
      <w:r>
        <w:t xml:space="preserve">- For every discrepancy, state whether it is upcoding, downcoding, overbilling, underbilling, neutral, or unknown in billingImpact.</w:t>
      </w:r>
    </w:p>
    <w:p>
      <w:pPr>
        <w:pStyle w:val="CodeBlock"/>
      </w:pPr>
      <w:r>
        <w:t xml:space="preserve">- Do not mark a chart clean unless originalCodes, correctedCodes, missingCodes, E/M, quantities, NCCI, and documentation support have all been checked.</w:t>
      </w:r>
    </w:p>
    <w:p>
      <w:pPr>
        <w:pStyle w:val="CodeBlock"/>
      </w:pPr>
      <w:r>
        <w:t xml:space="preserve">- Every code entry must include evidence. Every discrepancy must include concrete chart evidence.</w:t>
      </w:r>
    </w:p>
    <w:p>
      <w:pPr>
        <w:pStyle w:val="CodeBlock"/>
      </w:pPr>
      <w:r>
        <w:t xml:space="preserve">- If unsure, omit the code, lower aiConfidence, and add auditWarnings rather than guessing.</w:t>
      </w:r>
    </w:p>
    <w:p>
      <w:pPr>
        <w:pStyle w:val="Heading2"/>
      </w:pPr>
      <w:r>
        <w:t>Final QA instruction adds:</w:t>
      </w:r>
    </w:p>
    <w:p>
      <w:pPr>
        <w:pStyle w:val="CodeBlock"/>
      </w:pPr>
      <w:r>
        <w:t xml:space="preserve">You are now the independent final QA auditor. Your task is to find mistakes in the draft audit, not to agree with it.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Verification requirements:</w:t>
      </w:r>
    </w:p>
    <w:p>
      <w:pPr>
        <w:pStyle w:val="CodeBlock"/>
      </w:pPr>
      <w:r>
        <w:t xml:space="preserve">1. Re-read the chart/PDF, especially billing/charge sections, medication/vaccine logs, orders, procedure notes, assessment, and plan.</w:t>
      </w:r>
    </w:p>
    <w:p>
      <w:pPr>
        <w:pStyle w:val="CodeBlock"/>
      </w:pPr>
      <w:r>
        <w:t xml:space="preserve">2. Check every original code: it must be explicitly printed in the chart as billed.</w:t>
      </w:r>
    </w:p>
    <w:p>
      <w:pPr>
        <w:pStyle w:val="CodeBlock"/>
      </w:pPr>
      <w:r>
        <w:t xml:space="preserve">3. Check every corrected/missing code: it must be supported by clear chart evidence and correct for the date of service.</w:t>
      </w:r>
    </w:p>
    <w:p>
      <w:pPr>
        <w:pStyle w:val="CodeBlock"/>
      </w:pPr>
      <w:r>
        <w:t xml:space="preserve">4. Remove guessed or unsupported codes. Put unresolved issues in auditWarnings.</w:t>
      </w:r>
    </w:p>
    <w:p>
      <w:pPr>
        <w:pStyle w:val="CodeBlock"/>
      </w:pPr>
      <w:r>
        <w:t xml:space="preserve">5. Re-check quantities, E/M MDM level, vaccine product vs administration, injection administration, venipuncture, panels, and NCCI bundling.</w:t>
      </w:r>
    </w:p>
    <w:p>
      <w:pPr>
        <w:pStyle w:val="CodeBlock"/>
      </w:pPr>
      <w:r>
        <w:t xml:space="preserve">6. Re-check every discrepancy billingImpact. Make sure upcoding/downcoding/overbilling/underbilling labels are present and correct.</w:t>
      </w:r>
    </w:p>
    <w:p>
      <w:pPr>
        <w:pStyle w:val="CodeBlock"/>
      </w:pPr>
      <w:r>
        <w:t xml:space="preserve">7. Return final corrected JSON only. If the draft is wrong, fix it.</w:t>
      </w:r>
    </w:p>
    <w:p>
      <w:pPr>
        <w:pStyle w:val="Heading1"/>
      </w:pPr>
      <w:r>
        <w:t>4. Lab Result to ICD-10 Mapping Logic</w:t>
      </w:r>
    </w:p>
    <w:tbl>
      <w:tblPr>
        <w:tblStyle w:val="CalloutTable"/>
        <w:tblW w:w="9360" w:type="dxa"/>
        <w:tblInd w:w="120" w:type="dxa"/>
        <w:tblBorders>
          <w:top w:val="single" w:sz="8" w:color="B7C9DD"/>
          <w:left w:val="single" w:sz="8" w:color="B7C9DD"/>
          <w:bottom w:val="single" w:sz="8" w:color="B7C9DD"/>
          <w:right w:val="single" w:sz="8" w:color="B7C9DD"/>
          <w:insideH w:val="nil"/>
          <w:insideV w:val="nil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360"/>
      </w:tblGrid>
      <w:tr>
        <w:tc>
          <w:tcPr>
            <w:tcW w:w="9360" w:type="dxa"/>
            <w:shd w:fill="F4F7FA"/>
          </w:tcPr>
          <w:p>
            <w:pPr>
              <w:pStyle w:val="CalloutTitle"/>
            </w:pPr>
            <w:r>
              <w:t>Key finding</w:t>
            </w:r>
          </w:p>
          <w:p>
            <w:pPr>
              <w:pStyle w:val="CalloutBody"/>
            </w:pPr>
            <w:r>
              <w:t>There is currently no hardcoded backend dictionary that maps lab results such as Strep or Herpes to ICD-10 diagnosis codes. Diagnosis extraction is delegated to Gemini.</w:t>
            </w:r>
          </w:p>
        </w:tc>
      </w:tr>
    </w:tbl>
    <w:p>
      <w:pPr>
        <w:pStyle w:val="Heading2"/>
      </w:pPr>
      <w:r>
        <w:t>Current ICD-10 extraction approach:</w:t>
      </w:r>
    </w:p>
    <w:p>
      <w:pPr>
        <w:pStyle w:val="CodeBlock"/>
      </w:pPr>
      <w:r>
        <w:t xml:space="preserve">Gemini is instructed to extract clearly documented diagnoses from:</w:t>
      </w:r>
    </w:p>
    <w:p>
      <w:pPr>
        <w:pStyle w:val="CodeBlock"/>
      </w:pPr>
      <w:r>
        <w:t xml:space="preserve">- lab result findings</w:t>
      </w:r>
    </w:p>
    <w:p>
      <w:pPr>
        <w:pStyle w:val="CodeBlock"/>
      </w:pPr>
      <w:r>
        <w:t xml:space="preserve">- assessment</w:t>
      </w:r>
    </w:p>
    <w:p>
      <w:pPr>
        <w:pStyle w:val="CodeBlock"/>
      </w:pPr>
      <w:r>
        <w:t xml:space="preserve">- treatment plan</w:t>
      </w:r>
    </w:p>
    <w:p>
      <w:pPr>
        <w:pStyle w:val="CodeBlock"/>
      </w:pPr>
      <w:r>
        <w:t xml:space="preserve">- clinical documentation</w:t>
      </w:r>
    </w:p>
    <w:p>
      <w:pPr>
        <w:pStyle w:val="Heading2"/>
      </w:pPr>
      <w:r>
        <w:t>Not currently implemented:</w:t>
      </w:r>
    </w:p>
    <w:p>
      <w:pPr>
        <w:pStyle w:val="CodeBlock"/>
      </w:pPr>
      <w:r>
        <w:t xml:space="preserve">"positive strep" -&gt; "J02.0"</w:t>
      </w:r>
    </w:p>
    <w:p>
      <w:pPr>
        <w:pStyle w:val="CodeBlock"/>
      </w:pPr>
      <w:r>
        <w:t xml:space="preserve">"herpes simplex" -&gt; "B00.9"</w:t>
      </w:r>
    </w:p>
    <w:p>
      <w:pPr>
        <w:pStyle w:val="CodeBlock"/>
      </w:pPr>
      <w:r>
        <w:t xml:space="preserve">"HSV-1" -&gt; specific ICD-10 selection</w:t>
      </w:r>
    </w:p>
    <w:p>
      <w:pPr>
        <w:pStyle w:val="CodeBlock"/>
      </w:pPr>
      <w:r>
        <w:t xml:space="preserve">"HSV-2" -&gt; specific ICD-10 selection</w:t>
      </w:r>
    </w:p>
    <w:p>
      <w:pPr>
        <w:pStyle w:val="Heading1"/>
      </w:pPr>
      <w:r>
        <w:t>5. Existing Backend Lab CPT Suppression Rules</w:t>
      </w:r>
    </w:p>
    <w:p>
      <w:pPr>
        <w:pStyle w:val="Normal"/>
      </w:pPr>
      <w:r>
        <w:t>Although there is no lab-result-to-ICD dictionary, the backend does apply deterministic cleanup to suppress lab procedure CPT/HCPCS codes when the lab is suppressed or routed to an outside vendor.</w:t>
      </w:r>
    </w:p>
    <w:p>
      <w:pPr>
        <w:pStyle w:val="Heading2"/>
      </w:pPr>
      <w:r>
        <w:t>Eligible procedure-code ranges:</w:t>
      </w:r>
    </w:p>
    <w:p>
      <w:pPr>
        <w:pStyle w:val="CodeBlock"/>
      </w:pPr>
      <w:r>
        <w:t xml:space="preserve">Likely lab procedure CPT range:</w:t>
      </w:r>
    </w:p>
    <w:p>
      <w:pPr>
        <w:pStyle w:val="CodeBlock"/>
      </w:pPr>
      <w:r>
        <w:t xml:space="preserve">80047 through 89398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PLA-style codes:</w:t>
      </w:r>
    </w:p>
    <w:p>
      <w:pPr>
        <w:pStyle w:val="CodeBlock"/>
      </w:pPr>
      <w:r>
        <w:t xml:space="preserve">0001U through 0051U</w:t>
      </w:r>
    </w:p>
    <w:p>
      <w:pPr>
        <w:pStyle w:val="Heading2"/>
      </w:pPr>
      <w:r>
        <w:t>Suppression/vendor trigger terms:</w:t>
      </w:r>
    </w:p>
    <w:p>
      <w:pPr>
        <w:pStyle w:val="CodeBlock"/>
      </w:pPr>
      <w:r>
        <w:t xml:space="preserve">suppressed</w:t>
      </w:r>
    </w:p>
    <w:p>
      <w:pPr>
        <w:pStyle w:val="CodeBlock"/>
      </w:pPr>
      <w:r>
        <w:t xml:space="preserve">suppression</w:t>
      </w:r>
    </w:p>
    <w:p>
      <w:pPr>
        <w:pStyle w:val="CodeBlock"/>
      </w:pPr>
      <w:r>
        <w:t xml:space="preserve">non-billable</w:t>
      </w:r>
    </w:p>
    <w:p>
      <w:pPr>
        <w:pStyle w:val="CodeBlock"/>
      </w:pPr>
      <w:r>
        <w:t xml:space="preserve">outside lab</w:t>
      </w:r>
    </w:p>
    <w:p>
      <w:pPr>
        <w:pStyle w:val="CodeBlock"/>
      </w:pPr>
      <w:r>
        <w:t xml:space="preserve">outside laboratory</w:t>
      </w:r>
    </w:p>
    <w:p>
      <w:pPr>
        <w:pStyle w:val="CodeBlock"/>
      </w:pPr>
      <w:r>
        <w:t xml:space="preserve">outside vendor</w:t>
      </w:r>
    </w:p>
    <w:p>
      <w:pPr>
        <w:pStyle w:val="CodeBlock"/>
      </w:pPr>
      <w:r>
        <w:t xml:space="preserve">external lab</w:t>
      </w:r>
    </w:p>
    <w:p>
      <w:pPr>
        <w:pStyle w:val="CodeBlock"/>
      </w:pPr>
      <w:r>
        <w:t xml:space="preserve">external laboratory</w:t>
      </w:r>
    </w:p>
    <w:p>
      <w:pPr>
        <w:pStyle w:val="CodeBlock"/>
      </w:pPr>
      <w:r>
        <w:t xml:space="preserve">external vendor</w:t>
      </w:r>
    </w:p>
    <w:p>
      <w:pPr>
        <w:pStyle w:val="CodeBlock"/>
      </w:pPr>
      <w:r>
        <w:t xml:space="preserve">send-out</w:t>
      </w:r>
    </w:p>
    <w:p>
      <w:pPr>
        <w:pStyle w:val="CodeBlock"/>
      </w:pPr>
      <w:r>
        <w:t xml:space="preserve">referred lab</w:t>
      </w:r>
    </w:p>
    <w:p>
      <w:pPr>
        <w:pStyle w:val="CodeBlock"/>
      </w:pPr>
      <w:r>
        <w:t xml:space="preserve">referred test</w:t>
      </w:r>
    </w:p>
    <w:p>
      <w:pPr>
        <w:pStyle w:val="CodeBlock"/>
      </w:pPr>
      <w:r>
        <w:t xml:space="preserve">referred out</w:t>
      </w:r>
    </w:p>
    <w:p>
      <w:pPr>
        <w:pStyle w:val="CodeBlock"/>
      </w:pPr>
      <w:r>
        <w:t xml:space="preserve">routed to</w:t>
      </w:r>
    </w:p>
    <w:p>
      <w:pPr>
        <w:pStyle w:val="CodeBlock"/>
      </w:pPr>
      <w:r>
        <w:t xml:space="preserve">Quest</w:t>
      </w:r>
    </w:p>
    <w:p>
      <w:pPr>
        <w:pStyle w:val="CodeBlock"/>
      </w:pPr>
      <w:r>
        <w:t xml:space="preserve">LabCorp / Lab Corp</w:t>
      </w:r>
    </w:p>
    <w:p>
      <w:pPr>
        <w:pStyle w:val="CodeBlock"/>
      </w:pPr>
      <w:r>
        <w:t xml:space="preserve">CPL</w:t>
      </w:r>
    </w:p>
    <w:p>
      <w:pPr>
        <w:pStyle w:val="CodeBlock"/>
      </w:pPr>
      <w:r>
        <w:t xml:space="preserve">BioReference</w:t>
      </w:r>
    </w:p>
    <w:p>
      <w:pPr>
        <w:pStyle w:val="CodeBlock"/>
      </w:pPr>
      <w:r>
        <w:t xml:space="preserve">Mayo</w:t>
      </w:r>
    </w:p>
    <w:p>
      <w:pPr>
        <w:pStyle w:val="CodeBlock"/>
      </w:pPr>
      <w:r>
        <w:t xml:space="preserve">ARUP</w:t>
      </w:r>
    </w:p>
    <w:p>
      <w:pPr>
        <w:pStyle w:val="CodeBlock"/>
      </w:pPr>
      <w:r>
        <w:t xml:space="preserve">Sonic</w:t>
      </w:r>
    </w:p>
    <w:p>
      <w:pPr>
        <w:pStyle w:val="Heading2"/>
      </w:pPr>
      <w:r>
        <w:t>Backend behavior:</w:t>
      </w:r>
    </w:p>
    <w:p>
      <w:pPr>
        <w:pStyle w:val="CodeBlock"/>
      </w:pPr>
      <w:r>
        <w:t xml:space="preserve">If a corrected or missing CPT/HCPCS lab code looks like a lab procedure code</w:t>
      </w:r>
    </w:p>
    <w:p>
      <w:pPr>
        <w:pStyle w:val="CodeBlock"/>
      </w:pPr>
      <w:r>
        <w:t xml:space="preserve">AND its description/evidence mentions suppression or outside vendor routing: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1. Remove it from correctedCodes.cpt / correctedCodes.hcpcs.</w:t>
      </w:r>
    </w:p>
    <w:p>
      <w:pPr>
        <w:pStyle w:val="CodeBlock"/>
      </w:pPr>
      <w:r>
        <w:t xml:space="preserve">2. Remove it from missingCodes.</w:t>
      </w:r>
    </w:p>
    <w:p>
      <w:pPr>
        <w:pStyle w:val="CodeBlock"/>
      </w:pPr>
      <w:r>
        <w:t xml:space="preserve">3. Keep ICD-10 diagnosis codes untouched.</w:t>
      </w:r>
    </w:p>
    <w:p>
      <w:pPr>
        <w:pStyle w:val="CodeBlock"/>
      </w:pPr>
      <w:r>
        <w:t xml:space="preserve">4. Add an audit warning.</w:t>
      </w:r>
    </w:p>
    <w:p>
      <w:pPr>
        <w:pStyle w:val="CodeBlock"/>
      </w:pPr>
      <w:r>
        <w:t xml:space="preserve">5. Add a discrepancy if one does not already exist.</w:t>
      </w:r>
    </w:p>
    <w:p>
      <w:pPr>
        <w:pStyle w:val="CodeBlock"/>
      </w:pPr>
      <w:r>
        <w:t xml:space="preserve">6. If the code was originally billed, mark billingImpact as overbilling.</w:t>
      </w:r>
    </w:p>
    <w:p>
      <w:pPr>
        <w:pStyle w:val="CodeBlock"/>
      </w:pPr>
      <w:r>
        <w:t xml:space="preserve">7. If it was only suggested, mark billingImpact as neutral documentation.</w:t>
      </w:r>
    </w:p>
    <w:p>
      <w:pPr>
        <w:pStyle w:val="Heading2"/>
      </w:pPr>
      <w:r>
        <w:t>Current architecture summary:</w:t>
      </w:r>
    </w:p>
    <w:p>
      <w:pPr>
        <w:pStyle w:val="CodeBlock"/>
      </w:pPr>
      <w:r>
        <w:t xml:space="preserve">ICD-10 diagnosis extraction: Gemini reasoning only</w:t>
      </w:r>
    </w:p>
    <w:p>
      <w:pPr>
        <w:pStyle w:val="CodeBlock"/>
      </w:pPr>
      <w:r>
        <w:t xml:space="preserve">Lab CPT suppression: deterministic backend cleanup</w:t>
      </w:r>
    </w:p>
    <w:p>
      <w:pPr>
        <w:pStyle w:val="CodeBlock"/>
      </w:pPr>
      <w:r>
        <w:t xml:space="preserve">Lab-to-diagnosis dictionary: not implemented yet</w:t>
      </w:r>
    </w:p>
    <w:p>
      <w:pPr>
        <w:pStyle w:val="Heading1"/>
      </w:pPr>
      <w:r>
        <w:t>Optimization Notes</w:t>
      </w:r>
    </w:p>
    <w:tbl>
      <w:tblPr>
        <w:tblW w:w="9360" w:type="dxa"/>
        <w:tblInd w:w="120" w:type="dxa"/>
        <w:tblBorders>
          <w:top w:val="single" w:sz="6" w:color="9FB3C8"/>
          <w:left w:val="single" w:sz="6" w:color="9FB3C8"/>
          <w:bottom w:val="single" w:sz="6" w:color="9FB3C8"/>
          <w:right w:val="single" w:sz="6" w:color="9FB3C8"/>
          <w:insideH w:val="single" w:sz="4" w:color="D6DEE8"/>
          <w:insideV w:val="single" w:sz="4" w:color="D6DEE8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3100"/>
        <w:gridCol w:w="6260"/>
      </w:tblGrid>
      <w:tr>
        <w:tc>
          <w:tcPr>
            <w:tcW w:w="3100" w:type="dxa"/>
            <w:shd w:fill="E8EEF5"/>
          </w:tcPr>
          <w:p>
            <w:pPr>
              <w:pStyle w:val="TableHeader"/>
            </w:pPr>
            <w:r>
              <w:t>Opportunity</w:t>
            </w:r>
          </w:p>
        </w:tc>
        <w:tc>
          <w:tcPr>
            <w:tcW w:w="6260" w:type="dxa"/>
            <w:shd w:fill="E8EEF5"/>
          </w:tcPr>
          <w:p>
            <w:pPr>
              <w:pStyle w:val="TableHeader"/>
            </w:pPr>
            <w:r>
              <w:t>Why it matters</w:t>
            </w:r>
          </w:p>
        </w:tc>
      </w:tr>
      <w:tr>
        <w:tc>
          <w:tcPr>
            <w:tcW w:w="3100" w:type="dxa"/>
          </w:tcPr>
          <w:p>
            <w:pPr>
              <w:pStyle w:val="TableBody"/>
            </w:pPr>
            <w:r>
              <w:t>Add explicit lab diagnosis fields</w:t>
            </w:r>
          </w:p>
        </w:tc>
        <w:tc>
          <w:tcPr>
            <w:tcW w:w="6260" w:type="dxa"/>
          </w:tcPr>
          <w:p>
            <w:pPr>
              <w:pStyle w:val="TableBody"/>
            </w:pPr>
            <w:r>
              <w:t>Separate result evidence from claim codes, making Gemini output easier to validate.</w:t>
            </w:r>
          </w:p>
        </w:tc>
      </w:tr>
      <w:tr>
        <w:tc>
          <w:tcPr>
            <w:tcW w:w="3100" w:type="dxa"/>
          </w:tcPr>
          <w:p>
            <w:pPr>
              <w:pStyle w:val="TableBody"/>
            </w:pPr>
            <w:r>
              <w:t>Introduce a small curated lab-to-ICD rules layer</w:t>
            </w:r>
          </w:p>
        </w:tc>
        <w:tc>
          <w:tcPr>
            <w:tcW w:w="6260" w:type="dxa"/>
          </w:tcPr>
          <w:p>
            <w:pPr>
              <w:pStyle w:val="TableBody"/>
            </w:pPr>
            <w:r>
              <w:t>Useful for common urgent-care cases like strep, flu, COVID, HSV, UTI, and pregnancy tests.</w:t>
            </w:r>
          </w:p>
        </w:tc>
      </w:tr>
      <w:tr>
        <w:tc>
          <w:tcPr>
            <w:tcW w:w="3100" w:type="dxa"/>
          </w:tcPr>
          <w:p>
            <w:pPr>
              <w:pStyle w:val="TableBody"/>
            </w:pPr>
            <w:r>
              <w:t>Keep suppression as backend enforcement</w:t>
            </w:r>
          </w:p>
        </w:tc>
        <w:tc>
          <w:tcPr>
            <w:tcW w:w="6260" w:type="dxa"/>
          </w:tcPr>
          <w:p>
            <w:pPr>
              <w:pStyle w:val="TableBody"/>
            </w:pPr>
            <w:r>
              <w:t>The current deterministic pass protects final claims even when the model over-suggests CPT codes.</w:t>
            </w:r>
          </w:p>
        </w:tc>
      </w:tr>
      <w:tr>
        <w:tc>
          <w:tcPr>
            <w:tcW w:w="3100" w:type="dxa"/>
          </w:tcPr>
          <w:p>
            <w:pPr>
              <w:pStyle w:val="TableBody"/>
            </w:pPr>
            <w:r>
              <w:t>Add test fixtures</w:t>
            </w:r>
          </w:p>
        </w:tc>
        <w:tc>
          <w:tcPr>
            <w:tcW w:w="6260" w:type="dxa"/>
          </w:tcPr>
          <w:p>
            <w:pPr>
              <w:pStyle w:val="TableBody"/>
            </w:pPr>
            <w:r>
              <w:t>Fixtures for Quest/suppressed Strep and Herpes cases would prevent regressions.</w:t>
            </w:r>
          </w:p>
        </w:tc>
      </w:tr>
    </w:tbl>
    <w:sectPr>
      <w:pgSz w:w="12240" w:h="15840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pPr>
      <w:spacing w:after="120" w:line="300" w:lineRule="auto"/>
    </w:pPr>
    <w:rPr>
      <w:rFonts w:ascii="Calibri" w:hAnsi="Calibri"/>
      <w:sz w:val="22"/>
      <w:color w:val="111827"/>
    </w:rPr>
  </w:style>
  <w:style w:type="paragraph" w:styleId="Title">
    <w:name w:val="Title"/>
    <w:basedOn w:val="Normal"/>
    <w:pPr>
      <w:spacing w:after="120"/>
    </w:pPr>
    <w:rPr>
      <w:rFonts w:ascii="Calibri" w:hAnsi="Calibri"/>
      <w:b/>
      <w:sz w:val="44"/>
      <w:color w:val="0B2545"/>
    </w:rPr>
  </w:style>
  <w:style w:type="paragraph" w:styleId="Subtitle">
    <w:name w:val="Subtitle"/>
    <w:basedOn w:val="Normal"/>
    <w:pPr>
      <w:spacing w:after="220"/>
    </w:pPr>
    <w:rPr>
      <w:sz w:val="22"/>
      <w:color w:val="475569"/>
    </w:rPr>
  </w:style>
  <w:style w:type="paragraph" w:styleId="Heading1">
    <w:name w:val="heading 1"/>
    <w:basedOn w:val="Normal"/>
    <w:pPr>
      <w:keepNext/>
      <w:spacing w:before="360" w:after="200"/>
    </w:pPr>
    <w:rPr>
      <w:b/>
      <w:sz w:val="32"/>
      <w:color w:val="2E74B5"/>
    </w:rPr>
  </w:style>
  <w:style w:type="paragraph" w:styleId="Heading2">
    <w:name w:val="heading 2"/>
    <w:basedOn w:val="Normal"/>
    <w:pPr>
      <w:keepNext/>
      <w:spacing w:before="280" w:after="140"/>
    </w:pPr>
    <w:rPr>
      <w:b/>
      <w:sz w:val="26"/>
      <w:color w:val="2E74B5"/>
    </w:rPr>
  </w:style>
  <w:style w:type="paragraph" w:styleId="Heading3">
    <w:name w:val="heading 3"/>
    <w:basedOn w:val="Normal"/>
    <w:pPr>
      <w:keepNext/>
      <w:spacing w:before="200" w:after="100"/>
    </w:pPr>
    <w:rPr>
      <w:b/>
      <w:sz w:val="24"/>
      <w:color w:val="1F4D78"/>
    </w:rPr>
  </w:style>
  <w:style w:type="paragraph" w:styleId="CodeBlock">
    <w:name w:val="Code Block"/>
    <w:basedOn w:val="Normal"/>
    <w:pPr>
      <w:spacing w:before="0" w:after="0" w:line="240" w:lineRule="auto"/>
      <w:shd w:fill="F8FAFC"/>
    </w:pPr>
    <w:rPr>
      <w:rFonts w:ascii="Consolas" w:hAnsi="Consolas"/>
      <w:sz w:val="17"/>
      <w:color w:val="0F172A"/>
    </w:rPr>
  </w:style>
  <w:style w:type="paragraph" w:styleId="CalloutTitle">
    <w:name w:val="Callout Title"/>
    <w:basedOn w:val="Normal"/>
    <w:pPr>
      <w:spacing w:after="40"/>
    </w:pPr>
    <w:rPr>
      <w:b/>
      <w:color w:val="1F3A5F"/>
    </w:rPr>
  </w:style>
  <w:style w:type="paragraph" w:styleId="CalloutBody">
    <w:name w:val="Callout Body"/>
    <w:basedOn w:val="Normal"/>
    <w:pPr>
      <w:spacing w:after="0" w:line="280" w:lineRule="auto"/>
    </w:pPr>
    <w:rPr>
      <w:color w:val="334155"/>
    </w:rPr>
  </w:style>
  <w:style w:type="paragraph" w:styleId="TableHeader">
    <w:name w:val="Table Header"/>
    <w:basedOn w:val="Normal"/>
    <w:pPr>
      <w:spacing w:after="0" w:line="260" w:lineRule="auto"/>
    </w:pPr>
    <w:rPr>
      <w:b/>
      <w:sz w:val="19"/>
      <w:color w:val="0B2545"/>
    </w:rPr>
  </w:style>
  <w:style w:type="paragraph" w:styleId="TableBody">
    <w:name w:val="Table Body"/>
    <w:basedOn w:val="Normal"/>
    <w:pPr>
      <w:spacing w:after="0" w:line="260" w:lineRule="auto"/>
    </w:pPr>
    <w:rPr>
      <w:sz w:val="19"/>
      <w:color w:val="111827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OpenAI 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Medical Code Reviewer Gemini API Technical Architecture Dump</dc:title>
  <dc:creator>OpenAI Codex</dc:creator>
  <cp:lastModifiedBy>OpenAI Codex</cp:lastModifiedBy>
</cp:coreProperties>
</file>