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CEEE" w14:textId="77777777" w:rsidR="003C3F89" w:rsidRPr="0069644F" w:rsidRDefault="00000000">
      <w:pPr>
        <w:pStyle w:val="Heading1"/>
        <w:rPr>
          <w:color w:val="C0504D" w:themeColor="accent2"/>
        </w:rPr>
      </w:pPr>
      <w:r w:rsidRPr="0069644F">
        <w:rPr>
          <w:color w:val="C0504D" w:themeColor="accent2"/>
        </w:rPr>
        <w:t>GenAI Proof of Concept (POC) Use Case – HVAC Procurement Benchmarking &amp; Recommendation</w:t>
      </w:r>
    </w:p>
    <w:p w14:paraId="54D6830F" w14:textId="77777777" w:rsidR="003C3F89" w:rsidRDefault="00000000">
      <w:r>
        <w:t>1. Business Problem &amp; Context</w:t>
      </w:r>
    </w:p>
    <w:p w14:paraId="446EC75E" w14:textId="77777777" w:rsidR="003C3F89" w:rsidRDefault="00000000">
      <w:r>
        <w:t>Landmark Group procures HVAC systems for retail stores across multiple GCC and Middle East markets (UAE, KSA, Kuwait, Bahrain, Jordan, etc.). HVAC procurement is a critical category because it impacts store comfort, energy consumption, customer experience, and compliance with local mall and government regulations. Procurement requirements often vary by site type: mall-based stores have landlord interface constraints, while standalone stores require independent packaged or rooftop units.</w:t>
      </w:r>
    </w:p>
    <w:p w14:paraId="68E330B8" w14:textId="77777777" w:rsidR="003C3F89" w:rsidRDefault="00000000">
      <w:r>
        <w:t>The procurement scope differs significantly between projects. In some cases, vendors are contracted for full Supply, Installation, Testing, and Commissioning (SITC). In other cases, Landmark procures the equipment separately and vendors provide only Installation, Testing, and Commissioning (ITC). These variations create scope ambiguity, pricing inconsistencies, and longer RFQ turnaround cycles.</w:t>
      </w:r>
    </w:p>
    <w:p w14:paraId="6ED0FF4C" w14:textId="77777777" w:rsidR="003C3F89" w:rsidRDefault="00000000">
      <w:r>
        <w:t>2. Key Challenges in Current Process</w:t>
      </w:r>
    </w:p>
    <w:p w14:paraId="62DEFB7F" w14:textId="77777777" w:rsidR="003C3F89" w:rsidRDefault="00000000">
      <w:r>
        <w:t>- Incomplete or inconsistent HVAC specifications leading to vendor clarifications and RFQ delays.</w:t>
      </w:r>
    </w:p>
    <w:p w14:paraId="1F631EC4" w14:textId="77777777" w:rsidR="003C3F89" w:rsidRDefault="00000000">
      <w:r>
        <w:t>- Difficulty in selecting the right HVAC product given GCC climatic conditions (high heat, humidity, dust).</w:t>
      </w:r>
    </w:p>
    <w:p w14:paraId="38A000B2" w14:textId="77777777" w:rsidR="003C3F89" w:rsidRDefault="00000000">
      <w:r>
        <w:t>- Lack of rapid benchmark pricing despite availability of historical awarded rates.</w:t>
      </w:r>
    </w:p>
    <w:p w14:paraId="6D478F0B" w14:textId="239E7DEC" w:rsidR="003C3F89" w:rsidRDefault="00000000">
      <w:r>
        <w:t xml:space="preserve">- Vendor quotations </w:t>
      </w:r>
      <w:r w:rsidR="0069644F">
        <w:t xml:space="preserve">/ internal RFQ Scope </w:t>
      </w:r>
      <w:r>
        <w:t>often include inflated line items or scope overlaps.</w:t>
      </w:r>
    </w:p>
    <w:p w14:paraId="6D4785CA" w14:textId="77777777" w:rsidR="003C3F89" w:rsidRDefault="00000000">
      <w:r>
        <w:t>- Compliance with multiple regional standards and mall landlord requirements is complex.</w:t>
      </w:r>
    </w:p>
    <w:p w14:paraId="6BE48CB1" w14:textId="77777777" w:rsidR="003C3F89" w:rsidRDefault="00000000">
      <w:r>
        <w:t>3. Objective of the GenAI POC</w:t>
      </w:r>
    </w:p>
    <w:p w14:paraId="39F65B50" w14:textId="6CA7C0BE" w:rsidR="003C3F89" w:rsidRDefault="00000000">
      <w:r>
        <w:t xml:space="preserve">The objective is </w:t>
      </w:r>
      <w:r w:rsidR="00B34CA7">
        <w:t>for</w:t>
      </w:r>
      <w:r>
        <w:t xml:space="preserve"> the GenAI tool </w:t>
      </w:r>
      <w:r w:rsidR="00B34CA7">
        <w:t xml:space="preserve">to demonstrate how </w:t>
      </w:r>
      <w:proofErr w:type="gramStart"/>
      <w:r>
        <w:t xml:space="preserve">can </w:t>
      </w:r>
      <w:r w:rsidR="00B34CA7">
        <w:t>it</w:t>
      </w:r>
      <w:proofErr w:type="gramEnd"/>
      <w:r w:rsidR="00B34CA7">
        <w:t xml:space="preserve"> </w:t>
      </w:r>
      <w:r>
        <w:t xml:space="preserve">support Landmark’s procurement team </w:t>
      </w:r>
      <w:proofErr w:type="gramStart"/>
      <w:r>
        <w:t>by:</w:t>
      </w:r>
      <w:proofErr w:type="gramEnd"/>
      <w:r>
        <w:t xml:space="preserve"> validating HVAC requirements, recommending fit-for-purpose products, benchmarking costs using Landmark’s </w:t>
      </w:r>
      <w:proofErr w:type="gramStart"/>
      <w:r>
        <w:t>historical</w:t>
      </w:r>
      <w:proofErr w:type="gramEnd"/>
      <w:r>
        <w:t xml:space="preserve"> awarded rates, suggesting sourcing options</w:t>
      </w:r>
      <w:r w:rsidR="0069644F">
        <w:t xml:space="preserve"> </w:t>
      </w:r>
      <w:r>
        <w:t>and generating negotiation-ready fact packs.</w:t>
      </w:r>
    </w:p>
    <w:p w14:paraId="3B19CD07" w14:textId="093BFBB3" w:rsidR="003C3F89" w:rsidRDefault="00000000">
      <w:r>
        <w:t>4. Input Data</w:t>
      </w:r>
    </w:p>
    <w:p w14:paraId="67DB4B86" w14:textId="77777777" w:rsidR="003C3F89" w:rsidRDefault="00000000">
      <w:r>
        <w:t>4.1 Internal Data Sources (Landmark)</w:t>
      </w:r>
    </w:p>
    <w:p w14:paraId="62ED468B" w14:textId="5D33C4A3" w:rsidR="003C3F89" w:rsidRDefault="00000000">
      <w:r>
        <w:t>- Historical awarded rates and contracts for HVAC procurement (equipment, installation, commissioning).</w:t>
      </w:r>
      <w:r>
        <w:br/>
        <w:t>- Past RFQs/RFPs, BOQs, technical specifications and vendor submissions.</w:t>
      </w:r>
      <w:r>
        <w:br/>
      </w:r>
      <w:r>
        <w:lastRenderedPageBreak/>
        <w:t>- Store/site attributes: mall vs standalone, store area, operating hours, country-specific requirements.</w:t>
      </w:r>
      <w:r>
        <w:br/>
        <w:t>- Vendor performance data: lead times, quality outcomes, warranty claims.</w:t>
      </w:r>
    </w:p>
    <w:p w14:paraId="43B82DCB" w14:textId="77777777" w:rsidR="003C3F89" w:rsidRDefault="00000000">
      <w:r>
        <w:t>4.2 External Reference Data (Market &amp; Standards)</w:t>
      </w:r>
    </w:p>
    <w:p w14:paraId="0BC1A2C9" w14:textId="77777777" w:rsidR="003C3F89" w:rsidRDefault="00000000">
      <w:r>
        <w:t>- OEM catalogues and technical datasheets from manufacturers (Daikin, Carrier, Trane, LG, Mitsubishi, etc.).</w:t>
      </w:r>
      <w:r>
        <w:br/>
        <w:t>- Distributor and supplier networks across GCC markets.</w:t>
      </w:r>
      <w:r>
        <w:br/>
        <w:t>- Market indices for HVAC commodities (copper, steel, refrigerants).</w:t>
      </w:r>
      <w:r>
        <w:br/>
        <w:t>- Publicly available energy efficiency and compliance standards.</w:t>
      </w:r>
    </w:p>
    <w:p w14:paraId="1E8EAAED" w14:textId="77777777" w:rsidR="003C3F89" w:rsidRDefault="00000000">
      <w:r>
        <w:t>5. Standards &amp; Compliance Framework for Recommendations</w:t>
      </w:r>
    </w:p>
    <w:p w14:paraId="623FF886" w14:textId="77777777" w:rsidR="003C3F89" w:rsidRDefault="00000000">
      <w:r>
        <w:t>The AI recommendations must be aligned with international and regional HVAC standards, including but not limited to:</w:t>
      </w:r>
    </w:p>
    <w:p w14:paraId="4B2E0FE2" w14:textId="77777777" w:rsidR="003C3F89" w:rsidRDefault="00000000">
      <w:r>
        <w:t>- ASHRAE Standards (American Society of Heating, Refrigerating and Air-Conditioning Engineers):</w:t>
      </w:r>
    </w:p>
    <w:p w14:paraId="41243DD3" w14:textId="77777777" w:rsidR="003C3F89" w:rsidRDefault="00000000">
      <w:r>
        <w:t xml:space="preserve">  • ASHRAE 55 – Thermal Environmental Conditions for Human Occupancy</w:t>
      </w:r>
    </w:p>
    <w:p w14:paraId="266490A2" w14:textId="77777777" w:rsidR="003C3F89" w:rsidRDefault="00000000">
      <w:r>
        <w:t xml:space="preserve">  • ASHRAE 62.1 – Ventilation for Acceptable Indoor Air Quality</w:t>
      </w:r>
    </w:p>
    <w:p w14:paraId="7B0D6D8A" w14:textId="77777777" w:rsidR="003C3F89" w:rsidRDefault="00000000">
      <w:r>
        <w:t xml:space="preserve">  • ASHRAE 90.1 – Energy Standard for Buildings Except Low-Rise Residential</w:t>
      </w:r>
    </w:p>
    <w:p w14:paraId="4D304D67" w14:textId="77777777" w:rsidR="003C3F89" w:rsidRDefault="00000000">
      <w:r>
        <w:t>- ISO Standards:</w:t>
      </w:r>
    </w:p>
    <w:p w14:paraId="51165570" w14:textId="77777777" w:rsidR="003C3F89" w:rsidRDefault="00000000">
      <w:r>
        <w:t xml:space="preserve">  • ISO 16813 – Building environment design and indoor environment</w:t>
      </w:r>
    </w:p>
    <w:p w14:paraId="60D88E8A" w14:textId="77777777" w:rsidR="003C3F89" w:rsidRDefault="00000000">
      <w:r>
        <w:t xml:space="preserve">  • ISO 50001 – Energy Management Systems</w:t>
      </w:r>
    </w:p>
    <w:p w14:paraId="6EE130B4" w14:textId="77777777" w:rsidR="003C3F89" w:rsidRDefault="00000000">
      <w:r>
        <w:t>- Regional Compliance:</w:t>
      </w:r>
    </w:p>
    <w:p w14:paraId="50164ACC" w14:textId="77777777" w:rsidR="003C3F89" w:rsidRDefault="00000000">
      <w:r>
        <w:t xml:space="preserve">  • UAE ESMA energy efficiency regulations</w:t>
      </w:r>
    </w:p>
    <w:p w14:paraId="0240530C" w14:textId="77777777" w:rsidR="003C3F89" w:rsidRDefault="00000000">
      <w:r>
        <w:t xml:space="preserve">  • Saudi SASO HVAC equipment standards</w:t>
      </w:r>
    </w:p>
    <w:p w14:paraId="78BEAC27" w14:textId="77777777" w:rsidR="003C3F89" w:rsidRDefault="00000000">
      <w:r>
        <w:t xml:space="preserve">  • Local municipality and mall landlord HVAC design requirements</w:t>
      </w:r>
    </w:p>
    <w:p w14:paraId="45DF483C" w14:textId="77777777" w:rsidR="003C3F89" w:rsidRDefault="00000000">
      <w:r>
        <w:t>- Testing &amp; Commissioning Standards:</w:t>
      </w:r>
    </w:p>
    <w:p w14:paraId="21E2FE24" w14:textId="77777777" w:rsidR="003C3F89" w:rsidRDefault="00000000">
      <w:r>
        <w:t xml:space="preserve">  • CIBSE Commissioning Codes</w:t>
      </w:r>
    </w:p>
    <w:p w14:paraId="1C3C647A" w14:textId="77777777" w:rsidR="003C3F89" w:rsidRDefault="00000000">
      <w:r>
        <w:t xml:space="preserve">  • NEBB standards for HVAC system testing, adjusting, and balancing</w:t>
      </w:r>
    </w:p>
    <w:p w14:paraId="1EDB15DE" w14:textId="77777777" w:rsidR="00B34CA7" w:rsidRDefault="00B34CA7"/>
    <w:p w14:paraId="72CB3EC4" w14:textId="77777777" w:rsidR="00B34CA7" w:rsidRDefault="00B34CA7"/>
    <w:p w14:paraId="53E7550A" w14:textId="77777777" w:rsidR="003C3F89" w:rsidRDefault="00000000">
      <w:r>
        <w:lastRenderedPageBreak/>
        <w:t>6. Expected Outputs from the GenAI Tool</w:t>
      </w:r>
    </w:p>
    <w:p w14:paraId="6CB64DBA" w14:textId="77777777" w:rsidR="003C3F89" w:rsidRDefault="00000000">
      <w:r>
        <w:t>6.1 Requirement Completeness &amp; Scope Validation</w:t>
      </w:r>
    </w:p>
    <w:p w14:paraId="28D0C465" w14:textId="77777777" w:rsidR="003C3F89" w:rsidRDefault="00000000">
      <w:r>
        <w:t>AI should review scope documents and BOQs to identify missing elements such as ducting, controls, insulation, fire dampers, BMS integration, testing protocols, and warranty terms.</w:t>
      </w:r>
    </w:p>
    <w:p w14:paraId="6C0B18DA" w14:textId="77777777" w:rsidR="003C3F89" w:rsidRDefault="00000000">
      <w:r>
        <w:t>6.2 Product Selection Recommendation</w:t>
      </w:r>
    </w:p>
    <w:p w14:paraId="00C54BF3" w14:textId="77777777" w:rsidR="003C3F89" w:rsidRDefault="00000000">
      <w:r>
        <w:t>AI should recommend HVAC unit type (packaged unit, split system, VRF, chilled water interface) and sizing based on store heat load, mall constraints, ambient temperature, humidity, and dust exposure.</w:t>
      </w:r>
    </w:p>
    <w:p w14:paraId="2BFF5A5B" w14:textId="60E46AFE" w:rsidR="003C3F89" w:rsidRDefault="00000000">
      <w:r>
        <w:t xml:space="preserve">6.3 Should-Cost Benchmarking Using </w:t>
      </w:r>
      <w:r w:rsidR="006A1233">
        <w:t>Market Research</w:t>
      </w:r>
    </w:p>
    <w:p w14:paraId="7E3A2DEC" w14:textId="148C2792" w:rsidR="003C3F89" w:rsidRDefault="00000000">
      <w:r>
        <w:t xml:space="preserve">AI should benchmark supplier quotations against </w:t>
      </w:r>
      <w:r w:rsidR="006A1233">
        <w:t>Should-Cost based on open market research.</w:t>
      </w:r>
    </w:p>
    <w:p w14:paraId="1900AC69" w14:textId="77777777" w:rsidR="003C3F89" w:rsidRDefault="00000000">
      <w:r>
        <w:t>6.4 Sourcing &amp; Buying Channel Recommendations</w:t>
      </w:r>
    </w:p>
    <w:p w14:paraId="49E30924" w14:textId="77777777" w:rsidR="003C3F89" w:rsidRDefault="00000000">
      <w:r>
        <w:t>AI should provide procurement options including OEM-direct sourcing, authorized distributors, or bundled MEP contractor supply routes. It should highlight lead times, warranty norms, and regional availability.</w:t>
      </w:r>
    </w:p>
    <w:p w14:paraId="25E2917B" w14:textId="77777777" w:rsidR="003C3F89" w:rsidRDefault="00000000">
      <w:r>
        <w:t>6.5 Negotiation Support Pack</w:t>
      </w:r>
    </w:p>
    <w:p w14:paraId="7FF3E8A2" w14:textId="77777777" w:rsidR="003C3F89" w:rsidRDefault="00000000">
      <w:r>
        <w:t>AI should automatically generate negotiation fact packs including target cost corridors, outlier line-item alerts, and justification points based on historical benchmarks.</w:t>
      </w:r>
    </w:p>
    <w:p w14:paraId="4B307D98" w14:textId="77777777" w:rsidR="003C3F89" w:rsidRDefault="00000000">
      <w:r>
        <w:t>7. Pilot Scope &amp; Success Metrics</w:t>
      </w:r>
    </w:p>
    <w:p w14:paraId="1E4F1C0B" w14:textId="4DF3CA03" w:rsidR="003C3F89" w:rsidRDefault="00000000" w:rsidP="003330E6">
      <w:r>
        <w:t>Pilot recommended on 10 upcoming store HVAC projects across UAE and KSA. Success will be measured through:</w:t>
      </w:r>
      <w:r>
        <w:br/>
        <w:t xml:space="preserve">- RFQ turnaround reduction </w:t>
      </w:r>
      <w:r>
        <w:br/>
        <w:t>- Improved benchmark accuracy and negotiation savings</w:t>
      </w:r>
      <w:r>
        <w:br/>
        <w:t>- Reduction in vendor clarification cycles</w:t>
      </w:r>
    </w:p>
    <w:sectPr w:rsidR="003C3F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108571">
    <w:abstractNumId w:val="8"/>
  </w:num>
  <w:num w:numId="2" w16cid:durableId="1430783254">
    <w:abstractNumId w:val="6"/>
  </w:num>
  <w:num w:numId="3" w16cid:durableId="933581">
    <w:abstractNumId w:val="5"/>
  </w:num>
  <w:num w:numId="4" w16cid:durableId="1682930332">
    <w:abstractNumId w:val="4"/>
  </w:num>
  <w:num w:numId="5" w16cid:durableId="526992235">
    <w:abstractNumId w:val="7"/>
  </w:num>
  <w:num w:numId="6" w16cid:durableId="1480490951">
    <w:abstractNumId w:val="3"/>
  </w:num>
  <w:num w:numId="7" w16cid:durableId="94717820">
    <w:abstractNumId w:val="2"/>
  </w:num>
  <w:num w:numId="8" w16cid:durableId="1148940491">
    <w:abstractNumId w:val="1"/>
  </w:num>
  <w:num w:numId="9" w16cid:durableId="119002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724"/>
    <w:rsid w:val="0029639D"/>
    <w:rsid w:val="00326F90"/>
    <w:rsid w:val="003330E6"/>
    <w:rsid w:val="003C3F89"/>
    <w:rsid w:val="003F50D9"/>
    <w:rsid w:val="00414F24"/>
    <w:rsid w:val="0069644F"/>
    <w:rsid w:val="006A1233"/>
    <w:rsid w:val="00805213"/>
    <w:rsid w:val="00AA1D8D"/>
    <w:rsid w:val="00B34CA7"/>
    <w:rsid w:val="00B47730"/>
    <w:rsid w:val="00CB0664"/>
    <w:rsid w:val="00DC0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17682"/>
  <w14:defaultImageDpi w14:val="300"/>
  <w15:docId w15:val="{7DED51C9-9443-4AF1-97DD-61AABD0D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3023</TotalTime>
  <Pages>3</Pages>
  <Words>653</Words>
  <Characters>4238</Characters>
  <Application>Microsoft Office Word</Application>
  <DocSecurity>0</DocSecurity>
  <Lines>86</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Bhattad</cp:lastModifiedBy>
  <cp:revision>4</cp:revision>
  <dcterms:created xsi:type="dcterms:W3CDTF">2013-12-23T23:15:00Z</dcterms:created>
  <dcterms:modified xsi:type="dcterms:W3CDTF">2026-03-09T10:31:00Z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fe149986-5436-465b-babe-f12f93f927fa</vt:lpwstr>
  </property>
</Properties>
</file>