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200C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~200C until real vapor flow carries the heat away (poor coupling into thin vapor); then the superheat PI takes over.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arms only once the blower has REACHED its target rpm (soft-start ramp legitimately collapses superheat). Latched-arm.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at blowerRampRpmS to the target.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2026-07-13T17:25:51.305Z</dcterms:created>
  <dcterms:modified xsi:type="dcterms:W3CDTF">2026-07-13T17:25:51.306Z</dcterms:modified>
</cp:coreProperties>
</file>

<file path=docProps/custom.xml><?xml version="1.0" encoding="utf-8"?>
<Properties xmlns="http://schemas.openxmlformats.org/officeDocument/2006/custom-properties" xmlns:vt="http://schemas.openxmlformats.org/officeDocument/2006/docPropsVTypes"/>
</file>