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11:31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Power displays as powerW (watts); energy totals in kWh.</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cap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CYCLE-SYNCED (7/22): the window closes at each PUMP-OFF edge -- the reservoir is in the same just-emptied state cycle to cycle, so volume/period is EXACT. Fixed 60s windows ALIASED against the 400-750s flow-follow pump cycles (prodFast swung 0.19-0.47 while true per-cycle production sat flat at 0.46; the blower hunted +/-900rpm, ~10min period, chasing it). prodFastWinS is only the CAP (continuous pumping/stall); prodFastMinS (45s) ignores micro-cycles. Feeds the feed FF AND the blower loop (pmG).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11:31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2026-07-22T16:31:26.052Z</dcterms:created>
  <dcterms:modified xsi:type="dcterms:W3CDTF">2026-07-22T16:31:26.052Z</dcterms:modified>
</cp:coreProperties>
</file>

<file path=docProps/custom.xml><?xml version="1.0" encoding="utf-8"?>
<Properties xmlns="http://schemas.openxmlformats.org/officeDocument/2006/custom-properties" xmlns:vt="http://schemas.openxmlformats.org/officeDocument/2006/docPropsVTypes"/>
</file>