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16:29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cap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CYCLE-SYNCED (7/22): the window closes at each PUMP-OFF edge -- the reservoir is in the same just-emptied state cycle to cycle, so volume/period is EXACT. Fixed 60s windows ALIASED against the 400-750s flow-follow pump cycles (prodFast swung 0.19-0.47 while true per-cycle production sat flat at 0.46; the blower hunted +/-900rpm, ~10min period, chasing it). prodFastWinS is only the CAP (continuous pumping/stall); prodFastMinS (45s) ignores micro-cycles. Feeds the feed FF AND the blower loop (pmG).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16:29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2026-07-22T21:29:56.345Z</dcterms:created>
  <dcterms:modified xsi:type="dcterms:W3CDTF">2026-07-22T21:29:56.345Z</dcterms:modified>
</cp:coreProperties>
</file>

<file path=docProps/custom.xml><?xml version="1.0" encoding="utf-8"?>
<Properties xmlns="http://schemas.openxmlformats.org/officeDocument/2006/custom-properties" xmlns:vt="http://schemas.openxmlformats.org/officeDocument/2006/docPropsVTypes"/>
</file>