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2026-07-22 12:32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cap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CYCLE-SYNCED (7/22): the window closes at each PUMP-OFF edge -- the reservoir is in the same just-emptied state cycle to cycle, so volume/period is EXACT. Fixed 60s windows ALIASED against the 400-750s flow-follow pump cycles (prodFast swung 0.19-0.47 while true per-cycle production sat flat at 0.46; the blower hunted +/-900rpm, ~10min period, chasing it). prodFastWinS is only the CAP (continuous pumping/stall); prodFastMinS (45s) ignores micro-cycles. Feeds the feed FF AND the blower loop (pmG).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feedHiEscS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ESCALATION (7/22): on the 2600 plateau the feed caps at 0.5xFF immediately, 0.25xFF after this long still high, OFF after 2x -- descent guaranteed regardless of FF bias (the confidence-softened 0.71xFF cap held 367rpm mean ON the plateau). Down-slew runs 4x (cuts are thermally free).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v2026-07-22 12:32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2026-07-22T17:32:38.703Z</dcterms:created>
  <dcterms:modified xsi:type="dcterms:W3CDTF">2026-07-22T17:32:38.703Z</dcterms:modified>
</cp:coreProperties>
</file>

<file path=docProps/custom.xml><?xml version="1.0" encoding="utf-8"?>
<Properties xmlns="http://schemas.openxmlformats.org/officeDocument/2006/custom-properties" xmlns:vt="http://schemas.openxmlformats.org/officeDocument/2006/docPropsVTypes"/>
</file>