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arms only once the blower has REACHED its target rpm (soft-start ramp legitimately collapses superheat). Latched-arm.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 Lowered from 98/101 -- the rig never reached 101 at the vent TC, so it sat open bleeding steam; 95 seals it as soon as real vapor shows.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blowerRampRpm0 / blowerRampRpmS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200 / 10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rpm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OFF below blowerStartTemp (cold evaporator has no vapor -- it only pulls vacuum), then ramp from blowerRampRpm0 at blowerRampRpmS to the target.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2026-07-13T17:06:06.069Z</dcterms:created>
  <dcterms:modified xsi:type="dcterms:W3CDTF">2026-07-13T17:06:06.070Z</dcterms:modified>
</cp:coreProperties>
</file>

<file path=docProps/custom.xml><?xml version="1.0" encoding="utf-8"?>
<Properties xmlns="http://schemas.openxmlformats.org/officeDocument/2006/custom-properties" xmlns:vt="http://schemas.openxmlformats.org/officeDocument/2006/docPropsVTypes"/>
</file>