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AND blowerCmdRpm &gt;= blowerMinRpm -- the cartridge only fires with REAL vapor flow past the copper mesh (during the soft-start ramp the flow is a trickle and it would dry-fire). Both heater PI integrators reset to 0 whenever their heater is off, so no stale windup carries across a stop. The wet-compression (low-superheat) trip likewise arms only once the blower has reached its target.</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arms only once the blower has REACHED its target rpm (soft-start ramp legitimately collapses superheat). Latched-arm.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blowerRampRpm0 / blowerRampRpmS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200 / 10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rpm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OFF below blowerStartTemp (cold evaporator has no vapor -- it only pulls vacuum), then ramp from blowerRampRpm0 at blowerRampRpmS to the target.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2026-07-13T15:19:18.116Z</dcterms:created>
  <dcterms:modified xsi:type="dcterms:W3CDTF">2026-07-13T15:19:18.117Z</dcterms:modified>
</cp:coreProperties>
</file>

<file path=docProps/custom.xml><?xml version="1.0" encoding="utf-8"?>
<Properties xmlns="http://schemas.openxmlformats.org/officeDocument/2006/custom-properties" xmlns:vt="http://schemas.openxmlformats.org/officeDocument/2006/docPropsVTypes"/>
</file>