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feedLpm = prodMeas*(1+blowdownFrac)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(overspeed allowed) (-&gt; blowerRpmSafe).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200C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~200C until real vapor flow carries the heat away (poor coupling into thin vapor); then the superheat PI takes over.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arms only once the blower has REACHED its target rpm (soft-start ramp legitimately collapses superheat). Latched-arm.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trips on the 2900 plateau; E-TC DIN float ORed in): latched UI popup + FeedFollow cuts the feed. NOT during PURGE -- an overfull warm start reads HIGH while the purge is draining it.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 / 101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Hysteresis.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(~224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blowerRampRpm0 / blowerRampRpmS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200 / 10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rpm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OFF below blowerStartTemp (cold evaporator has no vapor -- it only pulls vacuum), then ramp from blowerRampRpm0 at blowerRampRpmS to the target.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2026-07-13T15:23:49.215Z</dcterms:created>
  <dcterms:modified xsi:type="dcterms:W3CDTF">2026-07-13T15:23:49.216Z</dcterms:modified>
</cp:coreProperties>
</file>

<file path=docProps/custom.xml><?xml version="1.0" encoding="utf-8"?>
<Properties xmlns="http://schemas.openxmlformats.org/officeDocument/2006/custom-properties" xmlns:vt="http://schemas.openxmlformats.org/officeDocument/2006/docPropsVTypes"/>
</file>