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200C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~200C until real vapor flow carries the heat away (poor coupling into thin vapor); then the superheat PI takes over.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 / 0.0005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integral clamps +/-0.4 so it can cancel excess FF.</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8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2026-07-13T19:21:18.820Z</dcterms:created>
  <dcterms:modified xsi:type="dcterms:W3CDTF">2026-07-13T19:21:18.821Z</dcterms:modified>
</cp:coreProperties>
</file>

<file path=docProps/custom.xml><?xml version="1.0" encoding="utf-8"?>
<Properties xmlns="http://schemas.openxmlformats.org/officeDocument/2006/custom-properties" xmlns:vt="http://schemas.openxmlformats.org/officeDocument/2006/docPropsVTypes"/>
</file>