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 / kFeedLevelI / levelDeadML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0.015 / 0.0015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 / (L/min/s)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the measured 1900|2100 plateau edge. Mid-edge INTEGRAL rides the edge (integrates only inside the deadband); P outside recovers fill/upsets. Holds ~1950..1975 (band ~23mL) in sim; ~100mL with heavy float bob.</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Level switches derive from the decoded plateau: low 750 (587|850 edge), mid 2000 (1900|2100 edge = operating), high 2450 (2350|2600 edge, under the demister). feedInvEst FUSED: dead-reckon + plateau-change midpoint snaps (teach the rate-bias) + span window (+/-senderSpanML 200, no teaching).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2026-07-10T17:38:03.991Z</dcterms:created>
  <dcterms:modified xsi:type="dcterms:W3CDTF">2026-07-10T17:38:03.992Z</dcterms:modified>
</cp:coreProperties>
</file>

<file path=docProps/custom.xml><?xml version="1.0" encoding="utf-8"?>
<Properties xmlns="http://schemas.openxmlformats.org/officeDocument/2006/custom-properties" xmlns:vt="http://schemas.openxmlformats.org/officeDocument/2006/docPropsVTypes"/>
</file>