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lastRenderedPageBreak/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</w:p>
    <w:p w:rsidR="001247C2" w:rsidRDefault="001247C2" w:rsidP="001247C2">
      <w:pPr>
        <w:pStyle w:val="paragraph"/>
        <w:textAlignment w:val="baseline"/>
        <w:rPr>
          <w:color w:val="262626"/>
        </w:rPr>
      </w:pPr>
      <w:r>
        <w:rPr>
          <w:rStyle w:val="normaltextrun"/>
          <w:rFonts w:ascii="Cambria" w:eastAsiaTheme="minorEastAsia" w:hAnsi="Cambria"/>
          <w:color w:val="262626"/>
          <w:sz w:val="40"/>
          <w:szCs w:val="40"/>
        </w:rPr>
        <w:t>Boîtes</w:t>
      </w:r>
      <w:r>
        <w:rPr>
          <w:rStyle w:val="eop"/>
          <w:rFonts w:ascii="Cambria" w:hAnsi="Cambria"/>
          <w:color w:val="262626"/>
          <w:sz w:val="40"/>
          <w:szCs w:val="40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Objectifs</w:t>
      </w:r>
      <w:r>
        <w:rPr>
          <w:rStyle w:val="normaltextrun"/>
          <w:rFonts w:ascii="Calibri" w:eastAsiaTheme="minorEastAsia" w:hAnsi="Calibri"/>
          <w:sz w:val="21"/>
          <w:szCs w:val="21"/>
        </w:rPr>
        <w:t> : mettre en œuvre les notions suivantes : constantes, propriétés, méthodes, constructeurs, surcharges et agrégation. Et de façon annexe : énumérations, exceptions et structuration du code.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un nouveau projet nommé Boites, créer une classe nommée Boite avec des propriétés en lecture seule pour sa hauteur, sa largeur, sa longueur, toutes 3 initialisées par défaut à 30.0.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2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 type énuméré pour les couleurs (blanc, bleu, vert, jaune, orange, rouge, marron). Créer une propriété en lecture/écriture de ce type sur la classe Boite.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3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énumérée en lecture seule pour la matière (carton, plastique, bois, métal), initialisée par défaut à Carton.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lastRenderedPageBreak/>
        <w:t>Etape 4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Volume en lecture seule qui retourne le volume calculé d’après les dimensions.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5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publique Etiqueter, avec un paramètre « destinataire » de type string. Créer une surcharge avec un paramètre booléen supplémentaire nommé « fragile ». La surcharge doit appeler la première méthode Etiqueter.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6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Compare qui renvoie vrai si les dimensions et la matière des 2 boîtes sont identiques. La tester.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7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2 constructeurs à la classe Boîte. Le 1</w:t>
      </w:r>
      <w:r>
        <w:rPr>
          <w:rStyle w:val="normaltextrun"/>
          <w:rFonts w:ascii="Calibri" w:eastAsiaTheme="minorEastAsia" w:hAnsi="Calibri"/>
          <w:sz w:val="16"/>
          <w:szCs w:val="16"/>
          <w:vertAlign w:val="superscript"/>
        </w:rPr>
        <w:t>er</w:t>
      </w:r>
      <w:r>
        <w:rPr>
          <w:rStyle w:val="normaltextrun"/>
          <w:rFonts w:ascii="Calibri" w:eastAsiaTheme="minorEastAsia" w:hAnsi="Calibri"/>
          <w:sz w:val="21"/>
          <w:szCs w:val="21"/>
        </w:rPr>
        <w:t xml:space="preserve"> permet d’initialiser ses dimensions. Le 2d permet d’initialiser en plus sa matière. Tester ces constructeurs en créant des boîtes dans la fonction Main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8</w:t>
      </w:r>
      <w:r>
        <w:rPr>
          <w:rStyle w:val="normaltextrun"/>
          <w:rFonts w:ascii="Calibri" w:eastAsiaTheme="minorEastAsia" w:hAnsi="Calibri"/>
          <w:sz w:val="21"/>
          <w:szCs w:val="21"/>
        </w:rPr>
        <w:t> : Faire en sorte que le second constructeur appelle le premier</w:t>
      </w:r>
      <w:r>
        <w:rPr>
          <w:rStyle w:val="eop"/>
          <w:rFonts w:ascii="Calibri" w:hAnsi="Calibri"/>
          <w:sz w:val="21"/>
          <w:szCs w:val="21"/>
        </w:rPr>
        <w:t> </w:t>
      </w:r>
      <w:bookmarkStart w:id="3" w:name="_GoBack"/>
      <w:bookmarkEnd w:id="3"/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9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classe Etiquette avec 3 propriétés en lecture/écriture : Texte (string), Couleur (énuméré déjà créé), Format (énuméré avec valeurs XS, S, M, L, XL)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10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 compteur d’instances sur la classe Boite, en utilisant une propriété statique pour retourner sa valeur. Tester son fonctionnement.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la classe Boite, ajouter 2 champs privés de type Etiquette. Nommez-les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,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première méthode Etiqueter créée à l’étape 5, créer une instance d’Etiquette de couleur blanche, de format L, et dont le texte est le destinataire.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seconde méthode Etiqueter créée à l’étape 5, si le paramètre fragile vaut Vrai, créer une instance d’étiquette de couleur rouge, de format S, et dont le texte vaut « FRAGILE ».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fonction Main, créer une boîte, et l’étiqueter avec son destinataire et une étiquette « FRAGILE ».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la composition.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 xml:space="preserve">Etape 12 : </w:t>
      </w:r>
      <w:r>
        <w:rPr>
          <w:rStyle w:val="normaltextrun"/>
          <w:rFonts w:ascii="Calibri" w:eastAsiaTheme="minorEastAsia" w:hAnsi="Calibri"/>
          <w:sz w:val="21"/>
          <w:szCs w:val="21"/>
        </w:rPr>
        <w:t>Créer une 3ème surcharge de la méthode Etiqueter, qui prend deux paramètres de type Etiquette (une pour le destinataire et une pour indiquer le caractère fragile) 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 Les étiquettes passées en paramètre doivent être affectées aux champs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 xml:space="preserve"> et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méthode Main de la classe Program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le constructeur adéquat, créer une boîte en plastique de dimensions 30 x 40 x 50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un initialiseur, créer une étiquette de couleur blanche, de format L, avec comme texte un destinataire de votre choix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Créer de la même façon une étiquette rouge de format S, avec le texte « FRAGILE »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Affecter ces étiquettes à la boîte à l’aide de la méthode Etiqueter créée précédemment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l’agrégation.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9D53B7" w:rsidRDefault="009D53B7"/>
    <w:sectPr w:rsidR="009D5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0720"/>
    <w:multiLevelType w:val="multilevel"/>
    <w:tmpl w:val="016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1247C2"/>
    <w:rsid w:val="00292E73"/>
    <w:rsid w:val="00382E20"/>
    <w:rsid w:val="0044283A"/>
    <w:rsid w:val="009D2CDB"/>
    <w:rsid w:val="009D53B7"/>
    <w:rsid w:val="00BA0A37"/>
    <w:rsid w:val="00BF7946"/>
    <w:rsid w:val="00CB283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  <w:style w:type="paragraph" w:customStyle="1" w:styleId="paragraph">
    <w:name w:val="paragraph"/>
    <w:basedOn w:val="Normal"/>
    <w:rsid w:val="0012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247C2"/>
  </w:style>
  <w:style w:type="character" w:customStyle="1" w:styleId="eop">
    <w:name w:val="eop"/>
    <w:basedOn w:val="Policepardfaut"/>
    <w:rsid w:val="001247C2"/>
  </w:style>
  <w:style w:type="character" w:customStyle="1" w:styleId="spellingerror">
    <w:name w:val="spellingerror"/>
    <w:basedOn w:val="Policepardfaut"/>
    <w:rsid w:val="0012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10</cp:revision>
  <dcterms:created xsi:type="dcterms:W3CDTF">2017-03-21T14:57:00Z</dcterms:created>
  <dcterms:modified xsi:type="dcterms:W3CDTF">2017-03-27T09:41:00Z</dcterms:modified>
</cp:coreProperties>
</file>