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Alternate</w:t>
      </w:r>
      <w:r>
        <w:t xml:space="preserve"> </w:t>
      </w:r>
      <w:r>
        <w:t xml:space="preserve">haul</w:t>
      </w:r>
    </w:p>
    <w:bookmarkStart w:id="4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This is a simple case study that revisits the alternate haul data analysed</w:t>
      </w:r>
      <w:r>
        <w:t xml:space="preserve"> </w:t>
      </w:r>
      <w:r>
        <w:t xml:space="preserve">in Wileman et al. (1996, Manual of Methods of Measuring the Selectivity of Towed</w:t>
      </w:r>
      <w:r>
        <w:t xml:space="preserve"> </w:t>
      </w:r>
      <w:r>
        <w:t xml:space="preserve">Fishing Gears, ICES Coop Research Report, No 215).</w:t>
      </w:r>
    </w:p>
    <w:p>
      <w:pPr>
        <w:pStyle w:val="BodyText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The use of data that is provided within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package.</w:t>
      </w:r>
    </w:p>
    <w:p>
      <w:pPr>
        <w:pStyle w:val="Compact"/>
        <w:numPr>
          <w:ilvl w:val="0"/>
          <w:numId w:val="1001"/>
        </w:numPr>
      </w:pPr>
      <w:r>
        <w:t xml:space="preserve">Fixing the relative fishing power using the experimental design type</w:t>
      </w:r>
      <w:r>
        <w:t xml:space="preserve"> </w:t>
      </w:r>
      <w:r>
        <w:rPr>
          <w:rStyle w:val="VerbatimChar"/>
        </w:rPr>
        <w:t xml:space="preserve">dtype=re</w:t>
      </w:r>
      <w:r>
        <w:t xml:space="preserve">.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originally from Pope et al. (1975, Manual of methods for fish stock</w:t>
      </w:r>
      <w:r>
        <w:t xml:space="preserve"> </w:t>
      </w:r>
      <w:r>
        <w:t xml:space="preserve">assessment Part 111 Selectivity of fishing gear.FA0 Fish. Tech. Pap. (41) Rev. 1.)</w:t>
      </w:r>
      <w:r>
        <w:t xml:space="preserve"> </w:t>
      </w:r>
      <w:r>
        <w:t xml:space="preserve">These are alternative haul catch data of haddock in an 87 mm diamond experimental</w:t>
      </w:r>
      <w:r>
        <w:t xml:space="preserve"> </w:t>
      </w:r>
      <w:r>
        <w:t xml:space="preserve">codend alternating with a 35 mm control gear.</w:t>
      </w:r>
    </w:p>
    <w:p>
      <w:pPr>
        <w:pStyle w:val="BodyText"/>
      </w:pPr>
      <w:r>
        <w:t xml:space="preserve">The data are only given as totals summed over hauls, so no exploration of</w:t>
      </w:r>
      <w:r>
        <w:t xml:space="preserve"> </w:t>
      </w:r>
      <w:r>
        <w:t xml:space="preserve">between-haul variability is possible. The data are included with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</w:p>
    <w:bookmarkEnd w:id="20"/>
    <w:bookmarkStart w:id="21" w:name="load-and-inspect-the-data"/>
    <w:p>
      <w:pPr>
        <w:pStyle w:val="Heading3"/>
      </w:pPr>
      <w:r>
        <w:t xml:space="preserve">Load and inspect the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(Pope)</w:t>
      </w:r>
      <w:r>
        <w:br/>
      </w:r>
      <w:r>
        <w:rPr>
          <w:rStyle w:val="NormalTok"/>
        </w:rPr>
        <w:t xml:space="preserve">Pope</w:t>
      </w:r>
    </w:p>
    <w:p>
      <w:pPr>
        <w:pStyle w:val="SourceCode"/>
      </w:pPr>
      <w:r>
        <w:rPr>
          <w:rStyle w:val="VerbatimChar"/>
        </w:rPr>
        <w:t xml:space="preserve">##    Lengths nfine nwide</w:t>
      </w:r>
      <w:r>
        <w:br/>
      </w:r>
      <w:r>
        <w:rPr>
          <w:rStyle w:val="VerbatimChar"/>
        </w:rPr>
        <w:t xml:space="preserve">## 1       24     1     0</w:t>
      </w:r>
      <w:r>
        <w:br/>
      </w:r>
      <w:r>
        <w:rPr>
          <w:rStyle w:val="VerbatimChar"/>
        </w:rPr>
        <w:t xml:space="preserve">## 2       25     1     0</w:t>
      </w:r>
      <w:r>
        <w:br/>
      </w:r>
      <w:r>
        <w:rPr>
          <w:rStyle w:val="VerbatimChar"/>
        </w:rPr>
        <w:t xml:space="preserve">## 3       26     3     0</w:t>
      </w:r>
      <w:r>
        <w:br/>
      </w:r>
      <w:r>
        <w:rPr>
          <w:rStyle w:val="VerbatimChar"/>
        </w:rPr>
        <w:t xml:space="preserve">## 4       27    14     1</w:t>
      </w:r>
      <w:r>
        <w:br/>
      </w:r>
      <w:r>
        <w:rPr>
          <w:rStyle w:val="VerbatimChar"/>
        </w:rPr>
        <w:t xml:space="preserve">## 5       28    30     5</w:t>
      </w:r>
      <w:r>
        <w:br/>
      </w:r>
      <w:r>
        <w:rPr>
          <w:rStyle w:val="VerbatimChar"/>
        </w:rPr>
        <w:t xml:space="preserve">## 6       29    49    19</w:t>
      </w:r>
      <w:r>
        <w:br/>
      </w:r>
      <w:r>
        <w:rPr>
          <w:rStyle w:val="VerbatimChar"/>
        </w:rPr>
        <w:t xml:space="preserve">## 7       30    60    29</w:t>
      </w:r>
      <w:r>
        <w:br/>
      </w:r>
      <w:r>
        <w:rPr>
          <w:rStyle w:val="VerbatimChar"/>
        </w:rPr>
        <w:t xml:space="preserve">## 8       31    50    51</w:t>
      </w:r>
      <w:r>
        <w:br/>
      </w:r>
      <w:r>
        <w:rPr>
          <w:rStyle w:val="VerbatimChar"/>
        </w:rPr>
        <w:t xml:space="preserve">## 9       32    70    91</w:t>
      </w:r>
      <w:r>
        <w:br/>
      </w:r>
      <w:r>
        <w:rPr>
          <w:rStyle w:val="VerbatimChar"/>
        </w:rPr>
        <w:t xml:space="preserve">## 10      33   108   120</w:t>
      </w:r>
      <w:r>
        <w:br/>
      </w:r>
      <w:r>
        <w:rPr>
          <w:rStyle w:val="VerbatimChar"/>
        </w:rPr>
        <w:t xml:space="preserve">## 11      34    88   118</w:t>
      </w:r>
      <w:r>
        <w:br/>
      </w:r>
      <w:r>
        <w:rPr>
          <w:rStyle w:val="VerbatimChar"/>
        </w:rPr>
        <w:t xml:space="preserve">## 12      35    84   107</w:t>
      </w:r>
      <w:r>
        <w:br/>
      </w:r>
      <w:r>
        <w:rPr>
          <w:rStyle w:val="VerbatimChar"/>
        </w:rPr>
        <w:t xml:space="preserve">## 13      36    68    78</w:t>
      </w:r>
      <w:r>
        <w:br/>
      </w:r>
      <w:r>
        <w:rPr>
          <w:rStyle w:val="VerbatimChar"/>
        </w:rPr>
        <w:t xml:space="preserve">## 14      37    37    52</w:t>
      </w:r>
      <w:r>
        <w:br/>
      </w:r>
      <w:r>
        <w:rPr>
          <w:rStyle w:val="VerbatimChar"/>
        </w:rPr>
        <w:t xml:space="preserve">## 15      38    33    40</w:t>
      </w:r>
      <w:r>
        <w:br/>
      </w:r>
      <w:r>
        <w:rPr>
          <w:rStyle w:val="VerbatimChar"/>
        </w:rPr>
        <w:t xml:space="preserve">## 16      39    12    17</w:t>
      </w:r>
      <w:r>
        <w:br/>
      </w:r>
      <w:r>
        <w:rPr>
          <w:rStyle w:val="VerbatimChar"/>
        </w:rPr>
        <w:t xml:space="preserve">## 17      40     5    17</w:t>
      </w:r>
      <w:r>
        <w:br/>
      </w:r>
      <w:r>
        <w:rPr>
          <w:rStyle w:val="VerbatimChar"/>
        </w:rPr>
        <w:t xml:space="preserve">## 18      41     6    14</w:t>
      </w:r>
      <w:r>
        <w:br/>
      </w:r>
      <w:r>
        <w:rPr>
          <w:rStyle w:val="VerbatimChar"/>
        </w:rPr>
        <w:t xml:space="preserve">## 19      42    10    10</w:t>
      </w:r>
      <w:r>
        <w:br/>
      </w:r>
      <w:r>
        <w:rPr>
          <w:rStyle w:val="VerbatimChar"/>
        </w:rPr>
        <w:t xml:space="preserve">## 20      43     1     4</w:t>
      </w:r>
      <w:r>
        <w:br/>
      </w:r>
      <w:r>
        <w:rPr>
          <w:rStyle w:val="VerbatimChar"/>
        </w:rPr>
        <w:t xml:space="preserve">## 21      44     6     6</w:t>
      </w:r>
      <w:r>
        <w:br/>
      </w:r>
      <w:r>
        <w:rPr>
          <w:rStyle w:val="VerbatimChar"/>
        </w:rPr>
        <w:t xml:space="preserve">## 22      45     2     2</w:t>
      </w:r>
      <w:r>
        <w:br/>
      </w:r>
      <w:r>
        <w:rPr>
          <w:rStyle w:val="VerbatimChar"/>
        </w:rPr>
        <w:t xml:space="preserve">## 23      46     1     5</w:t>
      </w:r>
      <w:r>
        <w:br/>
      </w:r>
      <w:r>
        <w:rPr>
          <w:rStyle w:val="VerbatimChar"/>
        </w:rPr>
        <w:t xml:space="preserve">## 24      47     0     1</w:t>
      </w:r>
    </w:p>
    <w:bookmarkEnd w:id="21"/>
    <w:bookmarkStart w:id="22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NormalTok"/>
        </w:rPr>
        <w:t xml:space="preserve">v.names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"nfine"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"nwide"</w:t>
      </w:r>
      <w:r>
        <w:rPr>
          <w:rStyle w:val="NormalTok"/>
        </w:rPr>
        <w:t xml:space="preserve">)</w:t>
      </w:r>
    </w:p>
    <w:bookmarkEnd w:id="22"/>
    <w:bookmarkStart w:id="26" w:name="X1ae5b8d8f68305add1c30cfab5c6fb85d8beae3"/>
    <w:p>
      <w:pPr>
        <w:pStyle w:val="Heading3"/>
      </w:pPr>
      <w:r>
        <w:t xml:space="preserve">Produce a plot of catch-share proportions</w:t>
      </w:r>
    </w:p>
    <w:p>
      <w:pPr>
        <w:pStyle w:val="SourceCode"/>
      </w:pPr>
      <w:r>
        <w:rPr>
          <w:rStyle w:val="NormalTok"/>
        </w:rPr>
        <w:t xml:space="preserve">Pope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nfine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nwide,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nwide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(nfine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nwide))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Lengths,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Pope)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lternateHaul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experimental condend has catch share of 50% or more for all of the larger</w:t>
      </w:r>
      <w:r>
        <w:t xml:space="preserve"> </w:t>
      </w:r>
      <w:r>
        <w:t xml:space="preserve">lengths, indicating that it has higher fishing power than the control.</w:t>
      </w:r>
    </w:p>
    <w:bookmarkEnd w:id="26"/>
    <w:bookmarkStart w:id="36" w:name="fit-logistic-selection-curve"/>
    <w:p>
      <w:pPr>
        <w:pStyle w:val="Heading3"/>
      </w:pPr>
      <w:r>
        <w:t xml:space="preserve">Fit logistic selection curve</w:t>
      </w:r>
    </w:p>
    <w:p>
      <w:pPr>
        <w:pStyle w:val="SourceCode"/>
      </w:pPr>
      <w:r>
        <w:rPr>
          <w:rStyle w:val="NormalTok"/>
        </w:rPr>
        <w:t xml:space="preserve">Logist.fit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Design specification `ph` is deprecated and</w:t>
      </w:r>
      <w:r>
        <w:br/>
      </w:r>
      <w:r>
        <w:rPr>
          <w:rStyle w:val="VerbatimChar"/>
        </w:rPr>
        <w:t xml:space="preserve">##        has been changed to `ec` (experimental/control)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(Logist.fit)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lternateHaul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(Logist.fit)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lternateHaul_files/figure-docx/unnamed-chunk-6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lternateHaul_files/figure-docx/unnamed-chunk-6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-87.53367 -47.37439 -39.95578   3.00000 100.74877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14.8372118    13.7355791    21.0000000     0.7065339     0.6540752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(Logist.fit)</w:t>
      </w:r>
    </w:p>
    <w:p>
      <w:pPr>
        <w:pStyle w:val="SourceCode"/>
      </w:pPr>
      <w:r>
        <w:rPr>
          <w:rStyle w:val="VerbatimChar"/>
        </w:rPr>
        <w:t xml:space="preserve">##            par   raw s.e.</w:t>
      </w:r>
      <w:r>
        <w:br/>
      </w:r>
      <w:r>
        <w:rPr>
          <w:rStyle w:val="VerbatimChar"/>
        </w:rPr>
        <w:t xml:space="preserve">## L50 30.1753462 0.35526986</w:t>
      </w:r>
      <w:r>
        <w:br/>
      </w:r>
      <w:r>
        <w:rPr>
          <w:rStyle w:val="VerbatimChar"/>
        </w:rPr>
        <w:t xml:space="preserve">## SR   2.3982465 0.51419914</w:t>
      </w:r>
      <w:r>
        <w:br/>
      </w:r>
      <w:r>
        <w:rPr>
          <w:rStyle w:val="VerbatimChar"/>
        </w:rPr>
        <w:t xml:space="preserve">## p    0.5728614 0.01721912</w:t>
      </w:r>
    </w:p>
    <w:p>
      <w:pPr>
        <w:pStyle w:val="FirstParagraph"/>
      </w:pPr>
      <w:r>
        <w:t xml:space="preserve">The logistic fit looks good. For completeness we’ll do the Richards fit also.</w:t>
      </w:r>
    </w:p>
    <w:bookmarkEnd w:id="36"/>
    <w:bookmarkStart w:id="46" w:name="fit-richards-curve"/>
    <w:p>
      <w:pPr>
        <w:pStyle w:val="Heading3"/>
      </w:pPr>
      <w:r>
        <w:t xml:space="preserve">Fit Richards curve</w:t>
      </w:r>
    </w:p>
    <w:p>
      <w:pPr>
        <w:pStyle w:val="SourceCode"/>
      </w:pPr>
      <w:r>
        <w:rPr>
          <w:rStyle w:val="NormalTok"/>
        </w:rPr>
        <w:t xml:space="preserve">Rich.fit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Design specification `ph` is deprecated and</w:t>
      </w:r>
      <w:r>
        <w:br/>
      </w:r>
      <w:r>
        <w:rPr>
          <w:rStyle w:val="VerbatimChar"/>
        </w:rPr>
        <w:t xml:space="preserve">##        has been changed to `ec` (experimental/control)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(Rich.fit)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lternateHaul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(Rich.fit)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lternateHaul_files/figure-docx/unnamed-chunk-7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lternateHaul_files/figure-docx/unnamed-chunk-7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-87.53367 -47.44057 -39.95578   4.00000 102.88114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14.9695751    13.9217412    20.0000000     0.7484788     0.6960871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(Rich.fit)</w:t>
      </w:r>
    </w:p>
    <w:p>
      <w:pPr>
        <w:pStyle w:val="SourceCode"/>
      </w:pPr>
      <w:r>
        <w:rPr>
          <w:rStyle w:val="VerbatimChar"/>
        </w:rPr>
        <w:t xml:space="preserve">##              par   raw s.e.</w:t>
      </w:r>
      <w:r>
        <w:br/>
      </w:r>
      <w:r>
        <w:rPr>
          <w:rStyle w:val="VerbatimChar"/>
        </w:rPr>
        <w:t xml:space="preserve">## L50   30.2153970 0.39757545</w:t>
      </w:r>
      <w:r>
        <w:br/>
      </w:r>
      <w:r>
        <w:rPr>
          <w:rStyle w:val="VerbatimChar"/>
        </w:rPr>
        <w:t xml:space="preserve">## SR     2.6700871 0.87875467</w:t>
      </w:r>
      <w:r>
        <w:br/>
      </w:r>
      <w:r>
        <w:rPr>
          <w:rStyle w:val="VerbatimChar"/>
        </w:rPr>
        <w:t xml:space="preserve">## delta  0.5690927 1.10616876</w:t>
      </w:r>
      <w:r>
        <w:br/>
      </w:r>
      <w:r>
        <w:rPr>
          <w:rStyle w:val="VerbatimChar"/>
        </w:rPr>
        <w:t xml:space="preserve">## p      0.5782163 0.02314456</w:t>
      </w:r>
    </w:p>
    <w:p>
      <w:pPr>
        <w:pStyle w:val="FirstParagraph"/>
      </w:pPr>
      <w:r>
        <w:t xml:space="preserve">There is very little difference between the logistic and Richards fits.</w:t>
      </w:r>
    </w:p>
    <w:p>
      <w:pPr>
        <w:pStyle w:val="BodyText"/>
      </w:pPr>
      <w:r>
        <w:t xml:space="preserve">The logistic is preferred, since even without being able to correct for</w:t>
      </w:r>
      <w:r>
        <w:t xml:space="preserve"> </w:t>
      </w:r>
      <w:r>
        <w:t xml:space="preserve">over-dispersion, AIC prefers the logistic. A likelihood-ratio test also</w:t>
      </w:r>
      <w:r>
        <w:t xml:space="preserve"> </w:t>
      </w:r>
      <w:r>
        <w:t xml:space="preserve">would not reject goodness of fit of the logistic.</w:t>
      </w:r>
    </w:p>
    <w:bookmarkEnd w:id="46"/>
    <w:bookmarkEnd w:id="47"/>
    <w:bookmarkStart w:id="57" w:name="fixing-the-split-parameter"/>
    <w:p>
      <w:pPr>
        <w:pStyle w:val="Heading2"/>
      </w:pPr>
      <w:r>
        <w:t xml:space="preserve">Fixing the split parameter</w:t>
      </w:r>
    </w:p>
    <w:p>
      <w:pPr>
        <w:pStyle w:val="FirstParagraph"/>
      </w:pPr>
      <w:r>
        <w:t xml:space="preserve">This requires specifying the design type as relative,</w:t>
      </w:r>
      <w:r>
        <w:t xml:space="preserve"> </w:t>
      </w:r>
      <w:r>
        <w:rPr>
          <w:rStyle w:val="VerbatimChar"/>
        </w:rPr>
        <w:t xml:space="preserve">re</w:t>
      </w:r>
      <w:r>
        <w:t xml:space="preserve">.</w:t>
      </w:r>
      <w:r>
        <w:t xml:space="preserve"> </w:t>
      </w:r>
      <w:r>
        <w:t xml:space="preserve">Also, meshsizes must be given, as well as start values for the optimizer.</w:t>
      </w:r>
      <w:r>
        <w:t xml:space="preserve"> </w:t>
      </w:r>
      <w:r>
        <w:t xml:space="preserve">These start values are for the intercept and slope parameters of the logistic</w:t>
      </w:r>
      <w:r>
        <w:t xml:space="preserve"> </w:t>
      </w:r>
      <w:r>
        <w:t xml:space="preserve">model, and the parameters of the above logistic fit can be used for this</w:t>
      </w:r>
      <w:r>
        <w:t xml:space="preserve"> </w:t>
      </w:r>
      <w:r>
        <w:t xml:space="preserve">purpose.</w:t>
      </w:r>
    </w:p>
    <w:p>
      <w:pPr>
        <w:pStyle w:val="SourceCode"/>
      </w:pPr>
      <w:r>
        <w:rPr>
          <w:rStyle w:val="CommentTok"/>
        </w:rPr>
        <w:t xml:space="preserve">#Get start values, x0</w:t>
      </w:r>
      <w:r>
        <w:br/>
      </w:r>
      <w:r>
        <w:rPr>
          <w:rStyle w:val="NormalTok"/>
        </w:rPr>
        <w:t xml:space="preserve">Logist.fit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</w:p>
    <w:p>
      <w:pPr>
        <w:pStyle w:val="SourceCode"/>
      </w:pPr>
      <w:r>
        <w:rPr>
          <w:rStyle w:val="VerbatimChar"/>
        </w:rPr>
        <w:t xml:space="preserve">## [1] -27.6460369   0.9161796   0.2935352</w:t>
      </w:r>
    </w:p>
    <w:p>
      <w:pPr>
        <w:pStyle w:val="SourceCode"/>
      </w:pPr>
      <w:r>
        <w:rPr>
          <w:rStyle w:val="NormalTok"/>
        </w:rPr>
        <w:t xml:space="preserve">EqualPower.fit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Meshsize=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Design specification `re` is deprecated and</w:t>
      </w:r>
      <w:r>
        <w:br/>
      </w:r>
      <w:r>
        <w:rPr>
          <w:rStyle w:val="VerbatimChar"/>
        </w:rPr>
        <w:t xml:space="preserve">##        has been changed to `dc` (direct comparison)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(EqualPower.fit)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(EqualPower.fit)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-87.53367 -57.97030 -39.95578   2.00000 119.94059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36.029030     34.683001     22.000000      1.637683      1.576500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(EqualPower.fit)</w:t>
      </w:r>
    </w:p>
    <w:p>
      <w:pPr>
        <w:pStyle w:val="SourceCode"/>
      </w:pPr>
      <w:r>
        <w:rPr>
          <w:rStyle w:val="VerbatimChar"/>
        </w:rPr>
        <w:t xml:space="preserve">##           par  raw s.e.</w:t>
      </w:r>
      <w:r>
        <w:br/>
      </w:r>
      <w:r>
        <w:rPr>
          <w:rStyle w:val="VerbatimChar"/>
        </w:rPr>
        <w:t xml:space="preserve">## L50 29.427707 0.2508234</w:t>
      </w:r>
      <w:r>
        <w:br/>
      </w:r>
      <w:r>
        <w:rPr>
          <w:rStyle w:val="VerbatimChar"/>
        </w:rPr>
        <w:t xml:space="preserve">## SR   1.780782 0.3387383</w:t>
      </w:r>
    </w:p>
    <w:p>
      <w:pPr>
        <w:pStyle w:val="FirstParagraph"/>
      </w:pPr>
      <w:r>
        <w:t xml:space="preserve">This is clearly not a good model.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Alternate haul</dc:title>
  <dc:creator/>
  <cp:keywords/>
  <dcterms:created xsi:type="dcterms:W3CDTF">2025-05-25T22:17:29Z</dcterms:created>
  <dcterms:modified xsi:type="dcterms:W3CDTF">2025-05-25T22:17:29Z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