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Alternate</w:t>
      </w:r>
      <w:r>
        <w:t xml:space="preserve"> </w:t>
      </w:r>
      <w:r>
        <w:t xml:space="preserve">haul</w:t>
      </w:r>
    </w:p>
    <w:bookmarkStart w:id="4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is a simple case study that revisits the alternate haul data analysed</w:t>
      </w:r>
      <w:r>
        <w:t xml:space="preserve"> </w:t>
      </w:r>
      <w:r>
        <w:t xml:space="preserve">in Wileman et al. (1996, Manual of Methods of Measuring the Selectivity of Towed</w:t>
      </w:r>
      <w:r>
        <w:t xml:space="preserve"> </w:t>
      </w:r>
      <w:r>
        <w:t xml:space="preserve">Fishing Gears, ICES Coop Research Report, No 215).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The use of data that is provided within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1"/>
        </w:numPr>
      </w:pPr>
      <w:r>
        <w:t xml:space="preserve">Fixing the relative fishing power using the direct comparison</w:t>
      </w:r>
      <w:r>
        <w:t xml:space="preserve"> </w:t>
      </w:r>
      <w:r>
        <w:t xml:space="preserve">experimental design type</w:t>
      </w:r>
      <w:r>
        <w:t xml:space="preserve"> </w:t>
      </w:r>
      <w:r>
        <w:rPr>
          <w:rStyle w:val="VerbatimChar"/>
        </w:rPr>
        <w:t xml:space="preserve">dtype=dc</w:t>
      </w:r>
      <w:r>
        <w:t xml:space="preserve">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originally from Pope et al. (1975, Manual of methods for fish stock</w:t>
      </w:r>
      <w:r>
        <w:t xml:space="preserve"> </w:t>
      </w:r>
      <w:r>
        <w:t xml:space="preserve">assessment Part 111 Selectivity of fishing gear.FA0 Fish. Tech. Pap. (41) Rev. 1.)</w:t>
      </w:r>
      <w:r>
        <w:t xml:space="preserve"> </w:t>
      </w:r>
      <w:r>
        <w:t xml:space="preserve">These are alternative haul catch data of haddock in an 87 mm diamond experimental</w:t>
      </w:r>
      <w:r>
        <w:t xml:space="preserve"> </w:t>
      </w:r>
      <w:r>
        <w:t xml:space="preserve">codend alternating with a 35 mm control gear.</w:t>
      </w:r>
    </w:p>
    <w:p>
      <w:pPr>
        <w:pStyle w:val="BodyText"/>
      </w:pPr>
      <w:r>
        <w:t xml:space="preserve">The data are only given as totals summed over hauls, so no exploration of</w:t>
      </w:r>
      <w:r>
        <w:t xml:space="preserve"> </w:t>
      </w:r>
      <w:r>
        <w:t xml:space="preserve">between-haul variability is possible. The data are included with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#devtools::install_github("rbmillar/SELECT")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End w:id="20"/>
    <w:bookmarkStart w:id="21" w:name="load-and-inspect-the-data"/>
    <w:p>
      <w:pPr>
        <w:pStyle w:val="Heading3"/>
      </w:pPr>
      <w:r>
        <w:t xml:space="preserve">Load and inspect the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NormalTok"/>
        </w:rPr>
        <w:t xml:space="preserve">Pope</w:t>
      </w:r>
    </w:p>
    <w:p>
      <w:pPr>
        <w:pStyle w:val="SourceCode"/>
      </w:pPr>
      <w:r>
        <w:rPr>
          <w:rStyle w:val="VerbatimChar"/>
        </w:rPr>
        <w:t xml:space="preserve">##    Lengths nfine nwide</w:t>
      </w:r>
      <w:r>
        <w:br/>
      </w:r>
      <w:r>
        <w:rPr>
          <w:rStyle w:val="VerbatimChar"/>
        </w:rPr>
        <w:t xml:space="preserve">## 1       24     1     0</w:t>
      </w:r>
      <w:r>
        <w:br/>
      </w:r>
      <w:r>
        <w:rPr>
          <w:rStyle w:val="VerbatimChar"/>
        </w:rPr>
        <w:t xml:space="preserve">## 2       25     1     0</w:t>
      </w:r>
      <w:r>
        <w:br/>
      </w:r>
      <w:r>
        <w:rPr>
          <w:rStyle w:val="VerbatimChar"/>
        </w:rPr>
        <w:t xml:space="preserve">## 3       26     3     0</w:t>
      </w:r>
      <w:r>
        <w:br/>
      </w:r>
      <w:r>
        <w:rPr>
          <w:rStyle w:val="VerbatimChar"/>
        </w:rPr>
        <w:t xml:space="preserve">## 4       27    14     1</w:t>
      </w:r>
      <w:r>
        <w:br/>
      </w:r>
      <w:r>
        <w:rPr>
          <w:rStyle w:val="VerbatimChar"/>
        </w:rPr>
        <w:t xml:space="preserve">## 5       28    30     5</w:t>
      </w:r>
      <w:r>
        <w:br/>
      </w:r>
      <w:r>
        <w:rPr>
          <w:rStyle w:val="VerbatimChar"/>
        </w:rPr>
        <w:t xml:space="preserve">## 6       29    49    19</w:t>
      </w:r>
      <w:r>
        <w:br/>
      </w:r>
      <w:r>
        <w:rPr>
          <w:rStyle w:val="VerbatimChar"/>
        </w:rPr>
        <w:t xml:space="preserve">## 7       30    60    29</w:t>
      </w:r>
      <w:r>
        <w:br/>
      </w:r>
      <w:r>
        <w:rPr>
          <w:rStyle w:val="VerbatimChar"/>
        </w:rPr>
        <w:t xml:space="preserve">## 8       31    50    51</w:t>
      </w:r>
      <w:r>
        <w:br/>
      </w:r>
      <w:r>
        <w:rPr>
          <w:rStyle w:val="VerbatimChar"/>
        </w:rPr>
        <w:t xml:space="preserve">## 9       32    70    91</w:t>
      </w:r>
      <w:r>
        <w:br/>
      </w:r>
      <w:r>
        <w:rPr>
          <w:rStyle w:val="VerbatimChar"/>
        </w:rPr>
        <w:t xml:space="preserve">## 10      33   108   120</w:t>
      </w:r>
      <w:r>
        <w:br/>
      </w:r>
      <w:r>
        <w:rPr>
          <w:rStyle w:val="VerbatimChar"/>
        </w:rPr>
        <w:t xml:space="preserve">## 11      34    88   118</w:t>
      </w:r>
      <w:r>
        <w:br/>
      </w:r>
      <w:r>
        <w:rPr>
          <w:rStyle w:val="VerbatimChar"/>
        </w:rPr>
        <w:t xml:space="preserve">## 12      35    84   107</w:t>
      </w:r>
      <w:r>
        <w:br/>
      </w:r>
      <w:r>
        <w:rPr>
          <w:rStyle w:val="VerbatimChar"/>
        </w:rPr>
        <w:t xml:space="preserve">## 13      36    68    78</w:t>
      </w:r>
      <w:r>
        <w:br/>
      </w:r>
      <w:r>
        <w:rPr>
          <w:rStyle w:val="VerbatimChar"/>
        </w:rPr>
        <w:t xml:space="preserve">## 14      37    37    52</w:t>
      </w:r>
      <w:r>
        <w:br/>
      </w:r>
      <w:r>
        <w:rPr>
          <w:rStyle w:val="VerbatimChar"/>
        </w:rPr>
        <w:t xml:space="preserve">## 15      38    33    40</w:t>
      </w:r>
      <w:r>
        <w:br/>
      </w:r>
      <w:r>
        <w:rPr>
          <w:rStyle w:val="VerbatimChar"/>
        </w:rPr>
        <w:t xml:space="preserve">## 16      39    12    17</w:t>
      </w:r>
      <w:r>
        <w:br/>
      </w:r>
      <w:r>
        <w:rPr>
          <w:rStyle w:val="VerbatimChar"/>
        </w:rPr>
        <w:t xml:space="preserve">## 17      40     5    17</w:t>
      </w:r>
      <w:r>
        <w:br/>
      </w:r>
      <w:r>
        <w:rPr>
          <w:rStyle w:val="VerbatimChar"/>
        </w:rPr>
        <w:t xml:space="preserve">## 18      41     6    14</w:t>
      </w:r>
      <w:r>
        <w:br/>
      </w:r>
      <w:r>
        <w:rPr>
          <w:rStyle w:val="VerbatimChar"/>
        </w:rPr>
        <w:t xml:space="preserve">## 19      42    10    10</w:t>
      </w:r>
      <w:r>
        <w:br/>
      </w:r>
      <w:r>
        <w:rPr>
          <w:rStyle w:val="VerbatimChar"/>
        </w:rPr>
        <w:t xml:space="preserve">## 20      43     1     4</w:t>
      </w:r>
      <w:r>
        <w:br/>
      </w:r>
      <w:r>
        <w:rPr>
          <w:rStyle w:val="VerbatimChar"/>
        </w:rPr>
        <w:t xml:space="preserve">## 21      44     6     6</w:t>
      </w:r>
      <w:r>
        <w:br/>
      </w:r>
      <w:r>
        <w:rPr>
          <w:rStyle w:val="VerbatimChar"/>
        </w:rPr>
        <w:t xml:space="preserve">## 22      45     2     2</w:t>
      </w:r>
      <w:r>
        <w:br/>
      </w:r>
      <w:r>
        <w:rPr>
          <w:rStyle w:val="VerbatimChar"/>
        </w:rPr>
        <w:t xml:space="preserve">## 23      46     1     5</w:t>
      </w:r>
      <w:r>
        <w:br/>
      </w:r>
      <w:r>
        <w:rPr>
          <w:rStyle w:val="VerbatimChar"/>
        </w:rPr>
        <w:t xml:space="preserve">## 24      47     0     1</w:t>
      </w:r>
    </w:p>
    <w:bookmarkEnd w:id="21"/>
    <w:bookmarkStart w:id="22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</w:p>
    <w:bookmarkEnd w:id="22"/>
    <w:bookmarkStart w:id="26" w:name="X1ae5b8d8f68305add1c30cfab5c6fb85d8beae3"/>
    <w:p>
      <w:pPr>
        <w:pStyle w:val="Heading3"/>
      </w:pPr>
      <w:r>
        <w:t xml:space="preserve">Produce a plot of catch-share proportions</w:t>
      </w:r>
    </w:p>
    <w:p>
      <w:pPr>
        <w:pStyle w:val="SourceCode"/>
      </w:pPr>
      <w:r>
        <w:rPr>
          <w:rStyle w:val="NormalTok"/>
        </w:rPr>
        <w:t xml:space="preserve">Pope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nwide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Pope)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ternateHaul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experimental condend has catch share of 50% or more for all of the larger</w:t>
      </w:r>
      <w:r>
        <w:t xml:space="preserve"> </w:t>
      </w:r>
      <w:r>
        <w:t xml:space="preserve">lengths, indicating that it has higher fishing power than the control.</w:t>
      </w:r>
    </w:p>
    <w:bookmarkEnd w:id="26"/>
    <w:bookmarkStart w:id="36" w:name="fit-logistic-selection-curve"/>
    <w:p>
      <w:pPr>
        <w:pStyle w:val="Heading3"/>
      </w:pPr>
      <w:r>
        <w:t xml:space="preserve">Fit logistic selection curve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-87.53367 -47.37439 -39.95578   3.00000 100.74878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14.8372224    13.7358636    21.0000000     0.7065344     0.6540887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 par   raw s.e.</w:t>
      </w:r>
      <w:r>
        <w:br/>
      </w:r>
      <w:r>
        <w:rPr>
          <w:rStyle w:val="VerbatimChar"/>
        </w:rPr>
        <w:t xml:space="preserve">## L50 30.1767091 0.35505969</w:t>
      </w:r>
      <w:r>
        <w:br/>
      </w:r>
      <w:r>
        <w:rPr>
          <w:rStyle w:val="VerbatimChar"/>
        </w:rPr>
        <w:t xml:space="preserve">## SR   2.3988249 0.51389589</w:t>
      </w:r>
      <w:r>
        <w:br/>
      </w:r>
      <w:r>
        <w:rPr>
          <w:rStyle w:val="VerbatimChar"/>
        </w:rPr>
        <w:t xml:space="preserve">## p    0.5728613 0.01721723</w:t>
      </w:r>
    </w:p>
    <w:p>
      <w:pPr>
        <w:pStyle w:val="FirstParagraph"/>
      </w:pPr>
      <w:r>
        <w:t xml:space="preserve">The logistic fit looks good. For completeness we’ll do the Richards fit also.</w:t>
      </w:r>
    </w:p>
    <w:bookmarkEnd w:id="36"/>
    <w:bookmarkStart w:id="46" w:name="fit-richards-curve"/>
    <w:p>
      <w:pPr>
        <w:pStyle w:val="Heading3"/>
      </w:pPr>
      <w:r>
        <w:t xml:space="preserve">Fit Richards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-87.53367 -47.43011 -39.95578   4.00000 102.86023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14.9486667    13.8936358    20.0000000     0.7474333     0.6946818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 par   raw s.e.</w:t>
      </w:r>
      <w:r>
        <w:br/>
      </w:r>
      <w:r>
        <w:rPr>
          <w:rStyle w:val="VerbatimChar"/>
        </w:rPr>
        <w:t xml:space="preserve">## L50   30.2099993 0.39203642</w:t>
      </w:r>
      <w:r>
        <w:br/>
      </w:r>
      <w:r>
        <w:rPr>
          <w:rStyle w:val="VerbatimChar"/>
        </w:rPr>
        <w:t xml:space="preserve">## SR     2.6354642 0.87628498</w:t>
      </w:r>
      <w:r>
        <w:br/>
      </w:r>
      <w:r>
        <w:rPr>
          <w:rStyle w:val="VerbatimChar"/>
        </w:rPr>
        <w:t xml:space="preserve">## delta  0.6161326 1.17071785</w:t>
      </w:r>
      <w:r>
        <w:br/>
      </w:r>
      <w:r>
        <w:rPr>
          <w:rStyle w:val="VerbatimChar"/>
        </w:rPr>
        <w:t xml:space="preserve">## p      0.5775485 0.02303817</w:t>
      </w:r>
    </w:p>
    <w:p>
      <w:pPr>
        <w:pStyle w:val="FirstParagraph"/>
      </w:pPr>
      <w:r>
        <w:t xml:space="preserve">There is very little difference between the logistic and Richards fits.</w:t>
      </w:r>
    </w:p>
    <w:p>
      <w:pPr>
        <w:pStyle w:val="BodyText"/>
      </w:pPr>
      <w:r>
        <w:t xml:space="preserve">The logistic is preferred, since even without being able to correct for</w:t>
      </w:r>
      <w:r>
        <w:t xml:space="preserve"> </w:t>
      </w:r>
      <w:r>
        <w:t xml:space="preserve">over-dispersion, AIC prefers the logistic. A likelihood-ratio test also</w:t>
      </w:r>
      <w:r>
        <w:t xml:space="preserve"> </w:t>
      </w:r>
      <w:r>
        <w:t xml:space="preserve">would not reject goodness of fit of the logistic.</w:t>
      </w:r>
    </w:p>
    <w:bookmarkEnd w:id="46"/>
    <w:bookmarkEnd w:id="47"/>
    <w:bookmarkStart w:id="66" w:name="fixing-the-split-parameter"/>
    <w:p>
      <w:pPr>
        <w:pStyle w:val="Heading2"/>
      </w:pPr>
      <w:r>
        <w:t xml:space="preserve">Fixing the split parameter</w:t>
      </w:r>
    </w:p>
    <w:p>
      <w:pPr>
        <w:pStyle w:val="FirstParagraph"/>
      </w:pPr>
      <w:r>
        <w:t xml:space="preserve">Fixing the value of the split parameter requires specifying the design type</w:t>
      </w:r>
      <w:r>
        <w:t xml:space="preserve"> </w:t>
      </w:r>
      <w:r>
        <w:t xml:space="preserve">as direct comparison,</w:t>
      </w:r>
      <w:r>
        <w:t xml:space="preserve"> </w:t>
      </w:r>
      <w:r>
        <w:rPr>
          <w:rStyle w:val="VerbatimChar"/>
        </w:rPr>
        <w:t xml:space="preserve">dc</w:t>
      </w:r>
      <w:r>
        <w:t xml:space="preserve">.</w:t>
      </w:r>
      <w:r>
        <w:t xml:space="preserve"> </w:t>
      </w:r>
      <w:r>
        <w:t xml:space="preserve">Also, meshsizes must be given.</w:t>
      </w:r>
    </w:p>
    <w:p>
      <w:pPr>
        <w:pStyle w:val="BodyText"/>
      </w:pPr>
      <w:r>
        <w:t xml:space="preserve">The default is equal fishing power, i.e., 50/50 split.</w:t>
      </w:r>
      <w:r>
        <w:t xml:space="preserve"> </w:t>
      </w:r>
      <w:r>
        <w:t xml:space="preserve">If unequal then the relative fishing power is specified through a vector of</w:t>
      </w:r>
      <w:r>
        <w:t xml:space="preserve"> </w:t>
      </w:r>
      <w:r>
        <w:t xml:space="preserve">length two that is provided as the</w:t>
      </w:r>
      <w:r>
        <w:t xml:space="preserve"> </w:t>
      </w:r>
      <w:r>
        <w:rPr>
          <w:rStyle w:val="VerbatimChar"/>
        </w:rPr>
        <w:t xml:space="preserve">rel.power</w:t>
      </w:r>
      <w:r>
        <w:t xml:space="preserve"> </w:t>
      </w:r>
      <w:r>
        <w:t xml:space="preserve">argument.</w:t>
      </w:r>
      <w:r>
        <w:t xml:space="preserve"> </w:t>
      </w:r>
      <w:r>
        <w:t xml:space="preserve">For example</w:t>
      </w:r>
      <w:r>
        <w:t xml:space="preserve"> </w:t>
      </w:r>
      <w:r>
        <w:rPr>
          <w:rStyle w:val="VerbatimChar"/>
        </w:rPr>
        <w:t xml:space="preserve">rel.power=c(0.4,0.6)</w:t>
      </w:r>
      <w:r>
        <w:t xml:space="preserve"> </w:t>
      </w:r>
      <w:r>
        <w:t xml:space="preserve">means that the first and second mesh sizes</w:t>
      </w:r>
      <w:r>
        <w:t xml:space="preserve"> </w:t>
      </w:r>
      <w:r>
        <w:t xml:space="preserve">have 40% and 60% split, respectively.</w:t>
      </w:r>
    </w:p>
    <w:p>
      <w:pPr>
        <w:pStyle w:val="SourceCode"/>
      </w:pPr>
      <w:r>
        <w:rPr>
          <w:rStyle w:val="CommentTok"/>
        </w:rPr>
        <w:t xml:space="preserve">#50/50 split</w:t>
      </w:r>
      <w:r>
        <w:br/>
      </w:r>
      <w:r>
        <w:rPr>
          <w:rStyle w:val="NormalTok"/>
        </w:rPr>
        <w:t xml:space="preserve">EqualPower.fit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-87.53367 -57.97030 -39.95578   2.00000 119.94059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36.029032     34.683536     22.000000      1.637683      1.576524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(EqualPower.fit)</w:t>
      </w:r>
    </w:p>
    <w:p>
      <w:pPr>
        <w:pStyle w:val="SourceCode"/>
      </w:pPr>
      <w:r>
        <w:rPr>
          <w:rStyle w:val="VerbatimChar"/>
        </w:rPr>
        <w:t xml:space="preserve">##           par  raw s.e.</w:t>
      </w:r>
      <w:r>
        <w:br/>
      </w:r>
      <w:r>
        <w:rPr>
          <w:rStyle w:val="VerbatimChar"/>
        </w:rPr>
        <w:t xml:space="preserve">## L50 29.428845 0.2506689</w:t>
      </w:r>
      <w:r>
        <w:br/>
      </w:r>
      <w:r>
        <w:rPr>
          <w:rStyle w:val="VerbatimChar"/>
        </w:rPr>
        <w:t xml:space="preserve">## SR   1.780782 0.3385444</w:t>
      </w:r>
    </w:p>
    <w:p>
      <w:pPr>
        <w:pStyle w:val="SourceCode"/>
      </w:pPr>
      <w:r>
        <w:rPr>
          <w:rStyle w:val="CommentTok"/>
        </w:rPr>
        <w:t xml:space="preserve">#40/60 split</w:t>
      </w:r>
      <w:r>
        <w:br/>
      </w:r>
      <w:r>
        <w:rPr>
          <w:rStyle w:val="NormalTok"/>
        </w:rPr>
        <w:t xml:space="preserve">UnEqualPower.fit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Meshsize=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rel.power=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(UnEqualPower.fit)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(UnEqualPower.fit)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-87.53367 -48.45797 -39.95578   2.00000 100.91595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17.0043880    16.0557234    22.0000000     0.7729267     0.7298056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(UnEqualPower.fit)</w:t>
      </w:r>
    </w:p>
    <w:p>
      <w:pPr>
        <w:pStyle w:val="SourceCode"/>
      </w:pPr>
      <w:r>
        <w:rPr>
          <w:rStyle w:val="VerbatimChar"/>
        </w:rPr>
        <w:t xml:space="preserve">##           par  raw s.e.</w:t>
      </w:r>
      <w:r>
        <w:br/>
      </w:r>
      <w:r>
        <w:rPr>
          <w:rStyle w:val="VerbatimChar"/>
        </w:rPr>
        <w:t xml:space="preserve">## L50 30.614372 0.2912733</w:t>
      </w:r>
      <w:r>
        <w:br/>
      </w:r>
      <w:r>
        <w:rPr>
          <w:rStyle w:val="VerbatimChar"/>
        </w:rPr>
        <w:t xml:space="preserve">## SR   2.924902 0.5593281</w:t>
      </w:r>
    </w:p>
    <w:p>
      <w:pPr>
        <w:pStyle w:val="FirstParagraph"/>
      </w:pPr>
      <w:r>
        <w:t xml:space="preserve">The equal fishing power model is clearly not a good fit.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Alternate haul</dc:title>
  <dc:creator/>
  <cp:keywords/>
  <dcterms:created xsi:type="dcterms:W3CDTF">2025-07-03T02:35:33Z</dcterms:created>
  <dcterms:modified xsi:type="dcterms:W3CDTF">2025-07-03T02:35:33Z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