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Gillnet</w:t>
      </w:r>
    </w:p>
    <w:bookmarkStart w:id="32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Fitting five different shapes of selection curves to gillnet data</w:t>
      </w:r>
    </w:p>
    <w:p>
      <w:pPr>
        <w:pStyle w:val="Compact"/>
        <w:numPr>
          <w:ilvl w:val="0"/>
          <w:numId w:val="1001"/>
        </w:numPr>
      </w:pPr>
      <w:r>
        <w:t xml:space="preserve">Use of</w:t>
      </w:r>
      <w:r>
        <w:t xml:space="preserve"> </w:t>
      </w:r>
      <w:r>
        <w:rPr>
          <w:rStyle w:val="VerbatimChar"/>
        </w:rPr>
        <w:t xml:space="preserve">dtype=dc</w:t>
      </w:r>
      <w:r>
        <w:t xml:space="preserve"> </w:t>
      </w:r>
      <w:r>
        <w:t xml:space="preserve">for direct comparison experiments whereby relative fishing</w:t>
      </w:r>
      <w:r>
        <w:t xml:space="preserve"> </w:t>
      </w:r>
      <w:r>
        <w:t xml:space="preserve">power is NOT being estimated. (The default is equal power, but it can be specified by the user.)</w:t>
      </w:r>
    </w:p>
    <w:p>
      <w:pPr>
        <w:pStyle w:val="Compact"/>
        <w:numPr>
          <w:ilvl w:val="0"/>
          <w:numId w:val="1001"/>
        </w:numPr>
      </w:pPr>
      <w:r>
        <w:t xml:space="preserve">Use of</w:t>
      </w:r>
      <w:r>
        <w:rPr>
          <w:rStyle w:val="VerbatimChar"/>
        </w:rPr>
        <w:t xml:space="preserve">x0=</w:t>
      </w:r>
      <w:r>
        <w:t xml:space="preserve"> </w:t>
      </w:r>
      <w:r>
        <w:t xml:space="preserve">to give required start values for the optimizer</w:t>
      </w:r>
    </w:p>
    <w:p>
      <w:pPr>
        <w:pStyle w:val="Compact"/>
        <w:numPr>
          <w:ilvl w:val="0"/>
          <w:numId w:val="1001"/>
        </w:numPr>
      </w:pPr>
      <w:r>
        <w:t xml:space="preserve">Model selection using AIC</w:t>
      </w:r>
    </w:p>
    <w:p>
      <w:pPr>
        <w:pStyle w:val="Compact"/>
        <w:numPr>
          <w:ilvl w:val="0"/>
          <w:numId w:val="1001"/>
        </w:numPr>
      </w:pPr>
      <w:r>
        <w:t xml:space="preserve">Geometric similarity of selectivity curves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trout caught by gillnet in Gull Island Refuge, Lake Superior</w:t>
      </w:r>
      <w:r>
        <w:t xml:space="preserve"> </w:t>
      </w:r>
      <w:r>
        <w:t xml:space="preserve">(Hansen et al., 1997. Gillnet selectivity for lake trout (Salvelinus namaycush)</w:t>
      </w:r>
      <w:r>
        <w:t xml:space="preserve"> </w:t>
      </w:r>
      <w:r>
        <w:t xml:space="preserve">in Lake Superior. Canadian Journal of Fisheries and Aquatic Sciences, 54:</w:t>
      </w:r>
      <w:r>
        <w:t xml:space="preserve"> </w:t>
      </w:r>
      <w:r>
        <w:t xml:space="preserve">2483-2490.</w:t>
      </w:r>
    </w:p>
    <w:bookmarkEnd w:id="20"/>
    <w:bookmarkStart w:id="21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bookmarkEnd w:id="21"/>
    <w:bookmarkStart w:id="22" w:name="load-data"/>
    <w:p>
      <w:pPr>
        <w:pStyle w:val="Heading3"/>
      </w:pPr>
      <w:r>
        <w:t xml:space="preserve">Load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(Trout)</w:t>
      </w:r>
      <w:r>
        <w:br/>
      </w:r>
      <w:r>
        <w:rPr>
          <w:rStyle w:val="NormalTok"/>
        </w:rPr>
        <w:t xml:space="preserve">Trout</w:t>
      </w:r>
    </w:p>
    <w:p>
      <w:pPr>
        <w:pStyle w:val="SourceCode"/>
      </w:pP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  lgth M102 M114 M127 M140 M152</w:t>
      </w:r>
      <w:r>
        <w:br/>
      </w:r>
      <w:r>
        <w:rPr>
          <w:rStyle w:val="VerbatimChar"/>
        </w:rPr>
        <w:t xml:space="preserve">## 1   438    6    1    0    0    0</w:t>
      </w:r>
      <w:r>
        <w:br/>
      </w:r>
      <w:r>
        <w:rPr>
          <w:rStyle w:val="VerbatimChar"/>
        </w:rPr>
        <w:t xml:space="preserve">## 2   463    6    3    0    0    1</w:t>
      </w:r>
      <w:r>
        <w:br/>
      </w:r>
      <w:r>
        <w:rPr>
          <w:rStyle w:val="VerbatimChar"/>
        </w:rPr>
        <w:t xml:space="preserve">## 3   488   18    5    3    0    0</w:t>
      </w:r>
      <w:r>
        <w:br/>
      </w:r>
      <w:r>
        <w:rPr>
          <w:rStyle w:val="VerbatimChar"/>
        </w:rPr>
        <w:t xml:space="preserve">## 4   513   10   16    7    1    0</w:t>
      </w:r>
      <w:r>
        <w:br/>
      </w:r>
      <w:r>
        <w:rPr>
          <w:rStyle w:val="VerbatimChar"/>
        </w:rPr>
        <w:t xml:space="preserve">## 5   538   17   18    9    5    1</w:t>
      </w:r>
      <w:r>
        <w:br/>
      </w:r>
      <w:r>
        <w:rPr>
          <w:rStyle w:val="VerbatimChar"/>
        </w:rPr>
        <w:t xml:space="preserve">## 6   563    8   14   24   10    4</w:t>
      </w:r>
      <w:r>
        <w:br/>
      </w:r>
      <w:r>
        <w:rPr>
          <w:rStyle w:val="VerbatimChar"/>
        </w:rPr>
        <w:t xml:space="preserve">## 7   588   11   20   30   22   10</w:t>
      </w:r>
      <w:r>
        <w:br/>
      </w:r>
      <w:r>
        <w:rPr>
          <w:rStyle w:val="VerbatimChar"/>
        </w:rPr>
        <w:t xml:space="preserve">## 8   613   20   15   16   23    9</w:t>
      </w:r>
      <w:r>
        <w:br/>
      </w:r>
      <w:r>
        <w:rPr>
          <w:rStyle w:val="VerbatimChar"/>
        </w:rPr>
        <w:t xml:space="preserve">## 9   638   11   20   20   29   17</w:t>
      </w:r>
      <w:r>
        <w:br/>
      </w:r>
      <w:r>
        <w:rPr>
          <w:rStyle w:val="VerbatimChar"/>
        </w:rPr>
        <w:t xml:space="preserve">## 10  663   15   19   25   26   23</w:t>
      </w:r>
      <w:r>
        <w:br/>
      </w:r>
      <w:r>
        <w:rPr>
          <w:rStyle w:val="VerbatimChar"/>
        </w:rPr>
        <w:t xml:space="preserve">## 11  688    7   22   21   14   25</w:t>
      </w:r>
      <w:r>
        <w:br/>
      </w:r>
      <w:r>
        <w:rPr>
          <w:rStyle w:val="VerbatimChar"/>
        </w:rPr>
        <w:t xml:space="preserve">## 12  713   10   19   11   15   21</w:t>
      </w:r>
      <w:r>
        <w:br/>
      </w:r>
      <w:r>
        <w:rPr>
          <w:rStyle w:val="VerbatimChar"/>
        </w:rPr>
        <w:t xml:space="preserve">## 13  738    5   16   13   10   11</w:t>
      </w:r>
      <w:r>
        <w:br/>
      </w:r>
      <w:r>
        <w:rPr>
          <w:rStyle w:val="VerbatimChar"/>
        </w:rPr>
        <w:t xml:space="preserve">## 14  763    1    6   11    2    4</w:t>
      </w:r>
      <w:r>
        <w:br/>
      </w:r>
      <w:r>
        <w:rPr>
          <w:rStyle w:val="VerbatimChar"/>
        </w:rPr>
        <w:t xml:space="preserve">## 15  788    0    1    3    5    0</w:t>
      </w:r>
      <w:r>
        <w:br/>
      </w:r>
      <w:r>
        <w:rPr>
          <w:rStyle w:val="VerbatimChar"/>
        </w:rPr>
        <w:t xml:space="preserve">## 16  813    1    1    3    1    3</w:t>
      </w:r>
      <w:r>
        <w:br/>
      </w:r>
      <w:r>
        <w:rPr>
          <w:rStyle w:val="VerbatimChar"/>
        </w:rPr>
        <w:t xml:space="preserve">## 17  838    0    1    1    1    2</w:t>
      </w:r>
      <w:r>
        <w:br/>
      </w:r>
      <w:r>
        <w:rPr>
          <w:rStyle w:val="VerbatimChar"/>
        </w:rPr>
        <w:t xml:space="preserve">## 18  863    0    0    0    1 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$Meshsize</w:t>
      </w:r>
      <w:r>
        <w:br/>
      </w:r>
      <w:r>
        <w:rPr>
          <w:rStyle w:val="VerbatimChar"/>
        </w:rPr>
        <w:t xml:space="preserve">## [1] 102 114 127 140 152</w:t>
      </w:r>
    </w:p>
    <w:p>
      <w:pPr>
        <w:pStyle w:val="FirstParagraph"/>
      </w:pPr>
      <w:r>
        <w:t xml:space="preserve">Fit five different parametric selectivity curves to the data.</w:t>
      </w:r>
    </w:p>
    <w:p>
      <w:pPr>
        <w:pStyle w:val="Compact"/>
        <w:numPr>
          <w:ilvl w:val="0"/>
          <w:numId w:val="1002"/>
        </w:numPr>
      </w:pPr>
      <w:r>
        <w:t xml:space="preserve">Normal with common standard deviation (spread)</w:t>
      </w:r>
    </w:p>
    <w:p>
      <w:pPr>
        <w:pStyle w:val="Compact"/>
        <w:numPr>
          <w:ilvl w:val="0"/>
          <w:numId w:val="1002"/>
        </w:numPr>
      </w:pPr>
      <w:r>
        <w:t xml:space="preserve">Normal with standard deviation scaling with mesh size</w:t>
      </w:r>
    </w:p>
    <w:p>
      <w:pPr>
        <w:pStyle w:val="Compact"/>
        <w:numPr>
          <w:ilvl w:val="0"/>
          <w:numId w:val="1002"/>
        </w:numPr>
      </w:pPr>
      <w:r>
        <w:t xml:space="preserve">Log normal</w:t>
      </w:r>
    </w:p>
    <w:p>
      <w:pPr>
        <w:pStyle w:val="Compact"/>
        <w:numPr>
          <w:ilvl w:val="0"/>
          <w:numId w:val="1002"/>
        </w:numPr>
      </w:pPr>
      <w:r>
        <w:t xml:space="preserve">Binormal mixture</w:t>
      </w:r>
    </w:p>
    <w:p>
      <w:pPr>
        <w:pStyle w:val="Compact"/>
        <w:numPr>
          <w:ilvl w:val="0"/>
          <w:numId w:val="1002"/>
        </w:numPr>
      </w:pPr>
      <w:r>
        <w:t xml:space="preserve">Bilognormal mixture</w:t>
      </w:r>
    </w:p>
    <w:p>
      <w:pPr>
        <w:pStyle w:val="FirstParagraph"/>
      </w:pPr>
      <w:r>
        <w:t xml:space="preserve">Note that curves 2-5 all observe geometric similarity whereby the curves scale</w:t>
      </w:r>
      <w:r>
        <w:t xml:space="preserve"> </w:t>
      </w:r>
      <w:r>
        <w:t xml:space="preserve">in proportion to mesh size.</w:t>
      </w:r>
    </w:p>
    <w:bookmarkEnd w:id="22"/>
    <w:bookmarkStart w:id="23" w:name="fit-the-curves"/>
    <w:p>
      <w:pPr>
        <w:pStyle w:val="Heading3"/>
      </w:pPr>
      <w:r>
        <w:t xml:space="preserve">Fit the curves</w:t>
      </w:r>
    </w:p>
    <w:p>
      <w:pPr>
        <w:pStyle w:val="SourceCode"/>
      </w:pPr>
      <w:r>
        <w:rPr>
          <w:rStyle w:val="NormalTok"/>
        </w:rPr>
        <w:t xml:space="preserve">Meshs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Meshsize</w:t>
      </w:r>
      <w:r>
        <w:br/>
      </w:r>
      <w:r>
        <w:rPr>
          <w:rStyle w:val="NormalTok"/>
        </w:rPr>
        <w:t xml:space="preserve">Counts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 </w:t>
      </w:r>
      <w:r>
        <w:br/>
      </w:r>
      <w:r>
        <w:rPr>
          <w:rStyle w:val="NormalTok"/>
        </w:rPr>
        <w:t xml:space="preserve">Vars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</w:t>
      </w:r>
      <w:r>
        <w:br/>
      </w:r>
      <w:r>
        <w:br/>
      </w:r>
      <w:r>
        <w:rPr>
          <w:rStyle w:val="NormalTok"/>
        </w:rPr>
        <w:t xml:space="preserve">SEL1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"norm.loc"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AIC1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(SEL1,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AIC2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AIC3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(SEL3,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AIC4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(SEL4,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(Counts,Vars,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AIC5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(SEL5,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AICs are"</w:t>
      </w:r>
      <w:r>
        <w:rPr>
          <w:rStyle w:val="NormalTok"/>
        </w:rPr>
        <w:t xml:space="preserve">,AIC1,AIC2,AIC3,AIC4,AIC5)</w:t>
      </w:r>
    </w:p>
    <w:p>
      <w:pPr>
        <w:pStyle w:val="SourceCode"/>
      </w:pPr>
      <w:r>
        <w:rPr>
          <w:rStyle w:val="VerbatimChar"/>
        </w:rPr>
        <w:t xml:space="preserve">## Poisson AICs are 468.151 480.6302 458.6767 412.8643 417.2718</w:t>
      </w:r>
    </w:p>
    <w:p>
      <w:pPr>
        <w:pStyle w:val="FirstParagraph"/>
      </w:pPr>
      <w:r>
        <w:t xml:space="preserve">The above SELECT fits show that the bimodal selectivity curves are preferred, and</w:t>
      </w:r>
      <w:r>
        <w:t xml:space="preserve"> </w:t>
      </w:r>
      <w:r>
        <w:t xml:space="preserve">the binormal (</w:t>
      </w:r>
      <w:r>
        <w:rPr>
          <w:rStyle w:val="VerbatimChar"/>
        </w:rPr>
        <w:t xml:space="preserve">SEL4</w:t>
      </w:r>
      <w:r>
        <w:t xml:space="preserve">) has the lowest Poisson AIC of 412.9.</w:t>
      </w:r>
    </w:p>
    <w:bookmarkEnd w:id="23"/>
    <w:bookmarkStart w:id="27" w:name="check-goodness-of-fit-of-preferred-model"/>
    <w:p>
      <w:pPr>
        <w:pStyle w:val="Heading3"/>
      </w:pPr>
      <w:r>
        <w:t xml:space="preserve">Check goodness of fit of preferred model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(SEL4)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routGillnet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null.l    model.l     full.l       npar        AIC </w:t>
      </w:r>
      <w:r>
        <w:br/>
      </w:r>
      <w:r>
        <w:rPr>
          <w:rStyle w:val="VerbatimChar"/>
        </w:rPr>
        <w:t xml:space="preserve">## -212.74398 -136.47456  -98.71324    5.00000  282.94911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75.522642     80.594716     67.000000      1.127204      1.202906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"Goodness of fit  p-value is"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))           </w:t>
      </w:r>
    </w:p>
    <w:p>
      <w:pPr>
        <w:pStyle w:val="SourceCode"/>
      </w:pPr>
      <w:r>
        <w:rPr>
          <w:rStyle w:val="VerbatimChar"/>
        </w:rPr>
        <w:t xml:space="preserve">## Goodness of fit  p-value is 0.1229541</w:t>
      </w:r>
    </w:p>
    <w:p>
      <w:pPr>
        <w:pStyle w:val="FirstParagraph"/>
      </w:pPr>
      <w:r>
        <w:t xml:space="preserve">The above output from `ModelCheck`` enabled a goodness-of-fit test using the Pearson chi-square statistic (or deviance), and this shows that the Poisson assumption is</w:t>
      </w:r>
      <w:r>
        <w:t xml:space="preserve"> </w:t>
      </w:r>
      <w:r>
        <w:t xml:space="preserve">reasonable. The plot of deviances residuals does not dispay any concerning patterns.</w:t>
      </w:r>
    </w:p>
    <w:bookmarkEnd w:id="27"/>
    <w:bookmarkStart w:id="31" w:name="plot-the-fitted-selection-curves"/>
    <w:p>
      <w:pPr>
        <w:pStyle w:val="Heading3"/>
      </w:pPr>
      <w:r>
        <w:t xml:space="preserve">Plot the fitted selection curves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(SEL5,</w:t>
      </w:r>
      <w:r>
        <w:rPr>
          <w:rStyle w:val="AttributeTok"/>
        </w:rPr>
        <w:t xml:space="preserve">standardize=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#Use standardize=T to set maximum retention to 1</w:t>
      </w:r>
      <w:r>
        <w:br/>
      </w:r>
      <w:r>
        <w:rPr>
          <w:rStyle w:val="CommentTok"/>
        </w:rPr>
        <w:t xml:space="preserve">#Add plot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(Meshs,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routGillnet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the geometric similarity of the curves, with each curve scaling in</w:t>
      </w:r>
      <w:r>
        <w:t xml:space="preserve"> </w:t>
      </w:r>
      <w:r>
        <w:t xml:space="preserve">proportion to mesh size.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Gillnet</dc:title>
  <dc:creator/>
  <cp:keywords/>
  <dcterms:created xsi:type="dcterms:W3CDTF">2025-05-25T22:21:27Z</dcterms:created>
  <dcterms:modified xsi:type="dcterms:W3CDTF">2025-05-25T22:21:27Z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