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c7fc88288869cd0ae6950931c9985a139053261"/>
    <w:p>
      <w:pPr>
        <w:pStyle w:val="Heading1"/>
      </w:pPr>
      <w:r>
        <w:t xml:space="preserve">GenAI Market: A Meta-Analysis of the State of Enterprise AI</w:t>
      </w:r>
    </w:p>
    <w:p>
      <w:pPr>
        <w:pStyle w:val="FirstParagraph"/>
      </w:pPr>
      <w:r>
        <w:t xml:space="preserve">https://rbndchsn.github.io/genai_market/</w:t>
      </w:r>
    </w:p>
    <w:bookmarkStart w:id="9" w:name="what-it-is"/>
    <w:p>
      <w:pPr>
        <w:pStyle w:val="Heading2"/>
      </w:pPr>
      <w:r>
        <w:t xml:space="preserve">What it is</w:t>
      </w:r>
    </w:p>
    <w:p>
      <w:pPr>
        <w:pStyle w:val="FirstParagraph"/>
      </w:pPr>
      <w:r>
        <w:t xml:space="preserve">A free, public site that reads the major 2025 and 2026 reports on enterprise AI adoption and presents what they say, together, in one place. Twelve sources: analyst studies from AIM Research and IDC, executive surveys from McKinsey, Deloitte, BCG and KPMG, research from MIT NANDA, Microsoft and Stanford HAI, and investor analyses from Menlo Ventures and a16z. Several hundred pages of PDFs and articles, distilled into a site you can search, filter and cite.</w:t>
      </w:r>
    </w:p>
    <w:bookmarkEnd w:id="9"/>
    <w:bookmarkStart w:id="10" w:name="what-is-in-it"/>
    <w:p>
      <w:pPr>
        <w:pStyle w:val="Heading2"/>
      </w:pPr>
      <w:r>
        <w:t xml:space="preserve">What is in it</w:t>
      </w:r>
    </w:p>
    <w:p>
      <w:pPr>
        <w:pStyle w:val="Compact"/>
        <w:numPr>
          <w:ilvl w:val="0"/>
          <w:numId w:val="1001"/>
        </w:numPr>
      </w:pPr>
      <w:r>
        <w:t xml:space="preserve">95 insights across 12 themes: market state, adoption and production, agentic AI, data foundations, operations, governance, cost, talent, pricing, the vendor landscape, outlook, and method.</w:t>
      </w:r>
    </w:p>
    <w:p>
      <w:pPr>
        <w:pStyle w:val="Compact"/>
        <w:numPr>
          <w:ilvl w:val="0"/>
          <w:numId w:val="1001"/>
        </w:numPr>
      </w:pPr>
      <w:r>
        <w:t xml:space="preserve">259 statistics, each rebuilt as a chart from our own data with its sample size, caveats, source and page.</w:t>
      </w:r>
    </w:p>
    <w:p>
      <w:pPr>
        <w:pStyle w:val="Compact"/>
        <w:numPr>
          <w:ilvl w:val="0"/>
          <w:numId w:val="1001"/>
        </w:numPr>
      </w:pPr>
      <w:r>
        <w:t xml:space="preserve">28 generative AI service providers on an interactive penetration and maturity quadrant, with profiles.</w:t>
      </w:r>
    </w:p>
    <w:p>
      <w:pPr>
        <w:pStyle w:val="Compact"/>
        <w:numPr>
          <w:ilvl w:val="0"/>
          <w:numId w:val="1001"/>
        </w:numPr>
      </w:pPr>
      <w:r>
        <w:t xml:space="preserve">164 glossary terms defined in plain language.</w:t>
      </w:r>
    </w:p>
    <w:p>
      <w:pPr>
        <w:pStyle w:val="Compact"/>
        <w:numPr>
          <w:ilvl w:val="0"/>
          <w:numId w:val="1001"/>
        </w:numPr>
      </w:pPr>
      <w:r>
        <w:t xml:space="preserve">Full-text search, shareable filtered views, and a stable link for every record.</w:t>
      </w:r>
    </w:p>
    <w:bookmarkEnd w:id="10"/>
    <w:bookmarkStart w:id="11" w:name="how-we-did-it"/>
    <w:p>
      <w:pPr>
        <w:pStyle w:val="Heading2"/>
      </w:pPr>
      <w:r>
        <w:t xml:space="preserve">How we did it</w:t>
      </w:r>
    </w:p>
    <w:p>
      <w:pPr>
        <w:pStyle w:val="FirstParagraph"/>
      </w:pPr>
      <w:r>
        <w:t xml:space="preserve">Every source was read in full. For each one we wrote structured notes with page references, in our own words, and checked every chart against the page it came from. The notes were reconciled into a single set of findings. Where sources agree, the insight cites all of them. Where they disagree, the insight says so and explains why, usually a difference in definitions or samples.</w:t>
      </w:r>
    </w:p>
    <w:p>
      <w:pPr>
        <w:pStyle w:val="BodyText"/>
      </w:pPr>
      <w:r>
        <w:t xml:space="preserve">Nothing from any source is reproduced: no text, no charts, no images. Every number on the site is read from a data file that anyone can download.</w:t>
      </w:r>
    </w:p>
    <w:bookmarkEnd w:id="11"/>
    <w:bookmarkStart w:id="12" w:name="why-it-is-useful"/>
    <w:p>
      <w:pPr>
        <w:pStyle w:val="Heading2"/>
      </w:pPr>
      <w:r>
        <w:t xml:space="preserve">Why it is useful</w:t>
      </w:r>
    </w:p>
    <w:p>
      <w:pPr>
        <w:pStyle w:val="FirstParagraph"/>
      </w:pPr>
      <w:r>
        <w:rPr>
          <w:b/>
          <w:bCs/>
        </w:rPr>
        <w:t xml:space="preserve">It saves the reading.</w:t>
      </w:r>
      <w:r>
        <w:t xml:space="preserve"> </w:t>
      </w:r>
      <w:r>
        <w:t xml:space="preserve">The findings that matter in these reports are spread across hundreds of pages of PDF. Here they are organised by question, not by publisher.</w:t>
      </w:r>
    </w:p>
    <w:p>
      <w:pPr>
        <w:pStyle w:val="BodyText"/>
      </w:pPr>
      <w:r>
        <w:rPr>
          <w:b/>
          <w:bCs/>
        </w:rPr>
        <w:t xml:space="preserve">It shows how strong each finding is.</w:t>
      </w:r>
      <w:r>
        <w:t xml:space="preserve"> </w:t>
      </w:r>
      <w:r>
        <w:t xml:space="preserve">Every insight is labelled multi-source (55 of 95), single source (24) or our own analysis (16), so a reader can see at a glance whether a claim rests on one survey or several.</w:t>
      </w:r>
    </w:p>
    <w:p>
      <w:pPr>
        <w:pStyle w:val="BodyText"/>
      </w:pPr>
      <w:r>
        <w:rPr>
          <w:b/>
          <w:bCs/>
        </w:rPr>
        <w:t xml:space="preserve">It reconciles instead of cherry-picking.</w:t>
      </w:r>
      <w:r>
        <w:t xml:space="preserve"> </w:t>
      </w:r>
      <w:r>
        <w:t xml:space="preserve">Agent adoption is reported anywhere from 7% to 59% depending on the definition. The share of</w:t>
      </w:r>
      <w:r>
        <w:t xml:space="preserve"> </w:t>
      </w:r>
      <w:r>
        <w:t xml:space="preserve">“AI leaders”</w:t>
      </w:r>
      <w:r>
        <w:t xml:space="preserve"> </w:t>
      </w:r>
      <w:r>
        <w:t xml:space="preserve">runs from 1% to 34%. Two venture firms each rank a different LLM vendor first, and each has invested in the one it ranks first. The site presents these side by side with the reasons, rather than quoting a single convenient number.</w:t>
      </w:r>
    </w:p>
    <w:p>
      <w:pPr>
        <w:pStyle w:val="BodyText"/>
      </w:pPr>
      <w:r>
        <w:rPr>
          <w:b/>
          <w:bCs/>
        </w:rPr>
        <w:t xml:space="preserve">It is honest about vendor claims.</w:t>
      </w:r>
      <w:r>
        <w:t xml:space="preserve"> </w:t>
      </w:r>
      <w:r>
        <w:t xml:space="preserve">Figures a vendor reported about itself are labelled as vendor-claimed and unaudited.</w:t>
      </w:r>
    </w:p>
    <w:p>
      <w:pPr>
        <w:pStyle w:val="BodyText"/>
      </w:pPr>
      <w:r>
        <w:rPr>
          <w:b/>
          <w:bCs/>
        </w:rPr>
        <w:t xml:space="preserve">It is citable and open.</w:t>
      </w:r>
      <w:r>
        <w:t xml:space="preserve"> </w:t>
      </w:r>
      <w:r>
        <w:t xml:space="preserve">Stable ids for every insight, statistic, vendor and term. Data files are public. Method and licensing are documented on the Sources page.</w:t>
      </w:r>
    </w:p>
    <w:bookmarkEnd w:id="12"/>
    <w:bookmarkStart w:id="13" w:name="who-it-is-for"/>
    <w:p>
      <w:pPr>
        <w:pStyle w:val="Heading2"/>
      </w:pPr>
      <w:r>
        <w:t xml:space="preserve">Who it is for</w:t>
      </w:r>
    </w:p>
    <w:p>
      <w:pPr>
        <w:pStyle w:val="FirstParagraph"/>
      </w:pPr>
      <w:r>
        <w:t xml:space="preserve">Executives, consultants and analysts who need to understand where enterprise AI actually stands, what the leading organisations do differently, and what the service-provider market looks like, without reading twelve reports.</w:t>
      </w:r>
    </w:p>
    <w:bookmarkEnd w:id="13"/>
    <w:bookmarkStart w:id="14" w:name="short-version"/>
    <w:p>
      <w:pPr>
        <w:pStyle w:val="Heading2"/>
      </w:pPr>
      <w:r>
        <w:t xml:space="preserve">Short version</w:t>
      </w:r>
    </w:p>
    <w:p>
      <w:pPr>
        <w:pStyle w:val="FirstParagraph"/>
      </w:pPr>
      <w:r>
        <w:t xml:space="preserve">We read twelve of the major 2025 and 2026 reports on enterprise AI, from McKinsey, Deloitte, BCG, KPMG, Stanford, MIT, Microsoft, IDC, AIM Research, Menlo and a16z, and built a free site that brings them together: 95 findings with an evidence rating, 259 statistics rebuilt as charts with their sources, 28 service providers on an interactive quadrant, and a glossary. Where the sources disagree, we say so and explain why. Every claim links to its page. https://rbndchsn.github.io/genai_market/</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2026-09-16T06:56:24Z</dcterms:created>
  <dcterms:modified xsi:type="dcterms:W3CDTF">2026-09-16T06:56:24Z</dcterms:modified>
</cp:coreProperties>
</file>

<file path=docProps/custom.xml><?xml version="1.0" encoding="utf-8"?>
<Properties xmlns="http://schemas.openxmlformats.org/officeDocument/2006/custom-properties" xmlns:vt="http://schemas.openxmlformats.org/officeDocument/2006/docPropsVTypes"/>
</file>