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adb013e6bf43cc5be4455bbccbb6d6d7f7ad3d4"/>
    <w:p>
      <w:pPr>
        <w:pStyle w:val="Heading1"/>
      </w:pPr>
      <w:r>
        <w:t xml:space="preserve">The Pracademic: Overview, Origins, and Market Outlook</w:t>
      </w:r>
    </w:p>
    <w:p>
      <w:pPr>
        <w:pStyle w:val="FirstParagraph"/>
      </w:pPr>
      <w:r>
        <w:rPr>
          <w:i/>
          <w:iCs/>
        </w:rPr>
        <w:t xml:space="preserve">Prepared March 2026 | Sources: AACSB, BLS, Nature, Development in Practice, Springer</w:t>
      </w:r>
    </w:p>
    <w:p>
      <w:r>
        <w:pict>
          <v:rect style="width:0;height:1.5pt" o:hralign="center" o:hrstd="t" o:hr="t"/>
        </w:pict>
      </w:r>
    </w:p>
    <w:bookmarkStart w:id="9" w:name="executive-summary"/>
    <w:p>
      <w:pPr>
        <w:pStyle w:val="Heading2"/>
      </w:pPr>
      <w:r>
        <w:t xml:space="preserve">Executive Summary</w:t>
      </w:r>
    </w:p>
    <w:p>
      <w:pPr>
        <w:pStyle w:val="FirstParagraph"/>
      </w:pPr>
      <w:r>
        <w:t xml:space="preserve">The</w:t>
      </w:r>
      <w:r>
        <w:t xml:space="preserve"> </w:t>
      </w:r>
      <w:r>
        <w:rPr>
          <w:b/>
          <w:bCs/>
        </w:rPr>
        <w:t xml:space="preserve">pracademic</w:t>
      </w:r>
      <w:r>
        <w:t xml:space="preserve"> </w:t>
      </w:r>
      <w:r>
        <w:t xml:space="preserve">— a professional who holds simultaneous senior roles in both industry and academia — has moved from career curiosity to institutionally recognized, structurally demanded professional identity. Six converging forces (the AACSB relevance crisis, digital transformation talent shortage, AI leadership explosion, pracademic model legitimization, remote work normalization, and above-average BLS occupational growth) are creating unprecedented demand for people who combine deep industry expertise with doctoral credentials and teaching capability.</w:t>
      </w:r>
    </w:p>
    <w:p>
      <w:pPr>
        <w:pStyle w:val="BodyText"/>
      </w:pPr>
      <w:r>
        <w:rPr>
          <w:b/>
          <w:bCs/>
        </w:rPr>
        <w:t xml:space="preserve">Key figures:</w:t>
      </w:r>
      <w:r>
        <w:t xml:space="preserve"> </w:t>
      </w:r>
      <w:r>
        <w:t xml:space="preserve">- 73% of all U.S. faculty positions are now off the tenure track; business schools lead this shift</w:t>
      </w:r>
      <w:r>
        <w:t xml:space="preserve"> </w:t>
      </w:r>
      <w:r>
        <w:t xml:space="preserve">- AACSB’s forthcoming 2026 Global Standards further expand practice-oriented faculty pathways</w:t>
      </w:r>
      <w:r>
        <w:t xml:space="preserve"> </w:t>
      </w:r>
      <w:r>
        <w:t xml:space="preserve">- Chief AI Officer appointments doubled from 11% to 26% of organizations in two years; 40% of CAIOs hold PhDs</w:t>
      </w:r>
      <w:r>
        <w:t xml:space="preserve"> </w:t>
      </w:r>
      <w:r>
        <w:t xml:space="preserve">- Portfolio career potential: $300K–$500K+ annually combining academic anchor + consulting + advisory + speaking</w:t>
      </w:r>
      <w:r>
        <w:t xml:space="preserve"> </w:t>
      </w:r>
      <w:r>
        <w:t xml:space="preserve">- SA status window for a 2024 PhD: open through ~2029 — the window of maximum AACSB value</w:t>
      </w:r>
    </w:p>
    <w:p>
      <w:pPr>
        <w:pStyle w:val="BodyText"/>
      </w:pPr>
      <w:r>
        <w:rPr>
          <w:b/>
          <w:bCs/>
        </w:rPr>
        <w:t xml:space="preserve">For a profile combining Oracle Hospitality global director experience, a 2024 PhD, and R1 adjunct teaching in South Florida</w:t>
      </w:r>
      <w:r>
        <w:t xml:space="preserve">: the SA status window, Florida’s H-1B freeze at public universities, and the global scarcity of cruise SPMS expertise combine to make 2026 the optimal year to pursue a professor of practice appointment while launching consulting infrastructure in parallel.</w:t>
      </w:r>
    </w:p>
    <w:p>
      <w:r>
        <w:pict>
          <v:rect style="width:0;height:1.5pt" o:hralign="center" o:hrstd="t" o:hr="t"/>
        </w:pict>
      </w:r>
    </w:p>
    <w:bookmarkEnd w:id="9"/>
    <w:bookmarkStart w:id="10" w:name="what-is-a-pracademic"/>
    <w:p>
      <w:pPr>
        <w:pStyle w:val="Heading2"/>
      </w:pPr>
      <w:r>
        <w:t xml:space="preserve">What Is a Pracademic?</w:t>
      </w:r>
    </w:p>
    <w:p>
      <w:pPr>
        <w:pStyle w:val="FirstParagraph"/>
      </w:pPr>
      <w:r>
        <w:t xml:space="preserve">A</w:t>
      </w:r>
      <w:r>
        <w:t xml:space="preserve"> </w:t>
      </w:r>
      <w:r>
        <w:rPr>
          <w:b/>
          <w:bCs/>
        </w:rPr>
        <w:t xml:space="preserve">pracademic</w:t>
      </w:r>
      <w:r>
        <w:t xml:space="preserve"> </w:t>
      </w:r>
      <w:r>
        <w:t xml:space="preserve">is a professional who simultaneously holds senior roles in both industry and academia — not as a moonlighter or occasional guest lecturer, but as someone whose identity, credibility, and career capital span both worlds with equal weight. The term blends</w:t>
      </w:r>
      <w:r>
        <w:t xml:space="preserve"> </w:t>
      </w:r>
      <w:r>
        <w:rPr>
          <w:i/>
          <w:iCs/>
        </w:rPr>
        <w:t xml:space="preserve">practitioner</w:t>
      </w:r>
      <w:r>
        <w:t xml:space="preserve"> </w:t>
      </w:r>
      <w:r>
        <w:t xml:space="preserve">and</w:t>
      </w:r>
      <w:r>
        <w:t xml:space="preserve"> </w:t>
      </w:r>
      <w:r>
        <w:rPr>
          <w:i/>
          <w:iCs/>
        </w:rPr>
        <w:t xml:space="preserve">academic</w:t>
      </w:r>
      <w:r>
        <w:t xml:space="preserve">, and it describes a person who brings the rigor of scholarly research to practical problems while grounding academic work in real operational experience.</w:t>
      </w:r>
    </w:p>
    <w:p>
      <w:pPr>
        <w:pStyle w:val="BodyText"/>
      </w:pPr>
      <w:r>
        <w:t xml:space="preserve">The defining characteristics of a pracademic are:</w:t>
      </w:r>
    </w:p>
    <w:p>
      <w:pPr>
        <w:pStyle w:val="Compact"/>
        <w:numPr>
          <w:ilvl w:val="0"/>
          <w:numId w:val="1001"/>
        </w:numPr>
      </w:pPr>
      <w:r>
        <w:rPr>
          <w:b/>
          <w:bCs/>
        </w:rPr>
        <w:t xml:space="preserve">Dual legitimacy</w:t>
      </w:r>
      <w:r>
        <w:t xml:space="preserve">: recognized as a credible expert by both practitioners and scholars</w:t>
      </w:r>
    </w:p>
    <w:p>
      <w:pPr>
        <w:pStyle w:val="Compact"/>
        <w:numPr>
          <w:ilvl w:val="0"/>
          <w:numId w:val="1001"/>
        </w:numPr>
      </w:pPr>
      <w:r>
        <w:rPr>
          <w:b/>
          <w:bCs/>
        </w:rPr>
        <w:t xml:space="preserve">Active practice</w:t>
      </w:r>
      <w:r>
        <w:t xml:space="preserve">: currently engaged in industry work, not merely drawing on past experience</w:t>
      </w:r>
    </w:p>
    <w:p>
      <w:pPr>
        <w:pStyle w:val="Compact"/>
        <w:numPr>
          <w:ilvl w:val="0"/>
          <w:numId w:val="1001"/>
        </w:numPr>
      </w:pPr>
      <w:r>
        <w:rPr>
          <w:b/>
          <w:bCs/>
        </w:rPr>
        <w:t xml:space="preserve">Scholarly productivity</w:t>
      </w:r>
      <w:r>
        <w:t xml:space="preserve">: publishing in peer-reviewed or bridge journals, not just presenting at industry conferences</w:t>
      </w:r>
    </w:p>
    <w:p>
      <w:pPr>
        <w:pStyle w:val="Compact"/>
        <w:numPr>
          <w:ilvl w:val="0"/>
          <w:numId w:val="1001"/>
        </w:numPr>
      </w:pPr>
      <w:r>
        <w:rPr>
          <w:b/>
          <w:bCs/>
        </w:rPr>
        <w:t xml:space="preserve">Pedagogical contribution</w:t>
      </w:r>
      <w:r>
        <w:t xml:space="preserve">: teaching at the university level, typically in graduate or executive education programs</w:t>
      </w:r>
    </w:p>
    <w:p>
      <w:pPr>
        <w:pStyle w:val="Compact"/>
        <w:numPr>
          <w:ilvl w:val="0"/>
          <w:numId w:val="1001"/>
        </w:numPr>
      </w:pPr>
      <w:r>
        <w:rPr>
          <w:b/>
          <w:bCs/>
        </w:rPr>
        <w:t xml:space="preserve">Research relevance</w:t>
      </w:r>
      <w:r>
        <w:t xml:space="preserve">: pursuing research questions that emerge from genuine operational challenges, not purely theoretical debates</w:t>
      </w:r>
    </w:p>
    <w:p>
      <w:pPr>
        <w:pStyle w:val="FirstParagraph"/>
      </w:pPr>
      <w:r>
        <w:t xml:space="preserve">The pracademic is distinct from the</w:t>
      </w:r>
      <w:r>
        <w:t xml:space="preserve"> </w:t>
      </w:r>
      <w:r>
        <w:rPr>
          <w:i/>
          <w:iCs/>
        </w:rPr>
        <w:t xml:space="preserve">scholar-practitioner</w:t>
      </w:r>
      <w:r>
        <w:t xml:space="preserve"> </w:t>
      </w:r>
      <w:r>
        <w:t xml:space="preserve">(primarily an academic who occasionally consults) and the</w:t>
      </w:r>
      <w:r>
        <w:t xml:space="preserve"> </w:t>
      </w:r>
      <w:r>
        <w:rPr>
          <w:i/>
          <w:iCs/>
        </w:rPr>
        <w:t xml:space="preserve">industry executive who adjunct teaches</w:t>
      </w:r>
      <w:r>
        <w:t xml:space="preserve"> </w:t>
      </w:r>
      <w:r>
        <w:t xml:space="preserve">(primarily a practitioner with minimal scholarly engagement). The pracademic operates at genuine intersection — where neither world is secondary.</w:t>
      </w:r>
    </w:p>
    <w:p>
      <w:r>
        <w:pict>
          <v:rect style="width:0;height:1.5pt" o:hralign="center" o:hrstd="t" o:hr="t"/>
        </w:pict>
      </w:r>
    </w:p>
    <w:bookmarkEnd w:id="10"/>
    <w:bookmarkStart w:id="16" w:name="origins-and-intellectual-history"/>
    <w:p>
      <w:pPr>
        <w:pStyle w:val="Heading2"/>
      </w:pPr>
      <w:r>
        <w:t xml:space="preserve">Origins and Intellectual History</w:t>
      </w:r>
    </w:p>
    <w:p>
      <w:pPr>
        <w:pStyle w:val="FirstParagraph"/>
      </w:pPr>
      <w:r>
        <w:t xml:space="preserve">The concept of the pracademic emerged gradually through the late 20th century as business schools began confronting a growing gap between what academic research produced and what organizations actually needed.</w:t>
      </w:r>
    </w:p>
    <w:bookmarkStart w:id="11" w:name="how-the-term-started"/>
    <w:p>
      <w:pPr>
        <w:pStyle w:val="Heading3"/>
      </w:pPr>
      <w:r>
        <w:t xml:space="preserve">How the Term Started</w:t>
      </w:r>
    </w:p>
    <w:p>
      <w:pPr>
        <w:pStyle w:val="FirstParagraph"/>
      </w:pPr>
      <w:r>
        <w:t xml:space="preserve">The word</w:t>
      </w:r>
      <w:r>
        <w:t xml:space="preserve"> </w:t>
      </w:r>
      <w:r>
        <w:rPr>
          <w:i/>
          <w:iCs/>
        </w:rPr>
        <w:t xml:space="preserve">pracademic</w:t>
      </w:r>
      <w:r>
        <w:t xml:space="preserve"> </w:t>
      </w:r>
      <w:r>
        <w:t xml:space="preserve">is a portmanteau — a deliberate fusion of</w:t>
      </w:r>
      <w:r>
        <w:t xml:space="preserve"> </w:t>
      </w:r>
      <w:r>
        <w:rPr>
          <w:i/>
          <w:iCs/>
        </w:rPr>
        <w:t xml:space="preserve">practitioner</w:t>
      </w:r>
      <w:r>
        <w:t xml:space="preserve"> </w:t>
      </w:r>
      <w:r>
        <w:t xml:space="preserve">and</w:t>
      </w:r>
      <w:r>
        <w:t xml:space="preserve"> </w:t>
      </w:r>
      <w:r>
        <w:rPr>
          <w:i/>
          <w:iCs/>
        </w:rPr>
        <w:t xml:space="preserve">academic</w:t>
      </w:r>
      <w:r>
        <w:t xml:space="preserve"> </w:t>
      </w:r>
      <w:r>
        <w:t xml:space="preserve">— that arose independently in several fields before gaining traction in management education. Its earliest documented uses appear in</w:t>
      </w:r>
      <w:r>
        <w:t xml:space="preserve"> </w:t>
      </w:r>
      <w:r>
        <w:rPr>
          <w:b/>
          <w:bCs/>
        </w:rPr>
        <w:t xml:space="preserve">public administration literature</w:t>
      </w:r>
      <w:r>
        <w:t xml:space="preserve"> </w:t>
      </w:r>
      <w:r>
        <w:t xml:space="preserve">in the early 1990s, where practitioners pursuing doctoral degrees while maintaining government or NGO roles found no adequate vocabulary for their hybrid identities.</w:t>
      </w:r>
    </w:p>
    <w:p>
      <w:pPr>
        <w:pStyle w:val="BodyText"/>
      </w:pPr>
      <w:r>
        <w:t xml:space="preserve">The conceptual roots trace further back:</w:t>
      </w:r>
      <w:r>
        <w:t xml:space="preserve"> </w:t>
      </w:r>
      <w:r>
        <w:t xml:space="preserve">-</w:t>
      </w:r>
      <w:r>
        <w:t xml:space="preserve"> </w:t>
      </w:r>
      <w:r>
        <w:rPr>
          <w:b/>
          <w:bCs/>
        </w:rPr>
        <w:t xml:space="preserve">1981</w:t>
      </w:r>
      <w:r>
        <w:t xml:space="preserve">: Eugene Meehan’s work on the</w:t>
      </w:r>
      <w:r>
        <w:t xml:space="preserve"> </w:t>
      </w:r>
      <w:r>
        <w:t xml:space="preserve">“policy intellectual”</w:t>
      </w:r>
      <w:r>
        <w:t xml:space="preserve"> </w:t>
      </w:r>
      <w:r>
        <w:t xml:space="preserve">in public administration literature articulated the tension between scholarly rigor and practical relevance</w:t>
      </w:r>
      <w:r>
        <w:t xml:space="preserve"> </w:t>
      </w:r>
      <w:r>
        <w:t xml:space="preserve">-</w:t>
      </w:r>
      <w:r>
        <w:t xml:space="preserve"> </w:t>
      </w:r>
      <w:r>
        <w:rPr>
          <w:b/>
          <w:bCs/>
        </w:rPr>
        <w:t xml:space="preserve">Late 1980s</w:t>
      </w:r>
      <w:r>
        <w:t xml:space="preserve">: The</w:t>
      </w:r>
      <w:r>
        <w:t xml:space="preserve"> </w:t>
      </w:r>
      <w:r>
        <w:rPr>
          <w:i/>
          <w:iCs/>
        </w:rPr>
        <w:t xml:space="preserve">Academy of Management</w:t>
      </w:r>
      <w:r>
        <w:t xml:space="preserve"> </w:t>
      </w:r>
      <w:r>
        <w:t xml:space="preserve">began debating</w:t>
      </w:r>
      <w:r>
        <w:t xml:space="preserve"> </w:t>
      </w:r>
      <w:r>
        <w:t xml:space="preserve">“relevance versus rigor”</w:t>
      </w:r>
      <w:r>
        <w:t xml:space="preserve"> </w:t>
      </w:r>
      <w:r>
        <w:t xml:space="preserve">in business research, a debate that would shape the pracademic’s eventual institutional home</w:t>
      </w:r>
      <w:r>
        <w:t xml:space="preserve"> </w:t>
      </w:r>
      <w:r>
        <w:t xml:space="preserve">-</w:t>
      </w:r>
      <w:r>
        <w:t xml:space="preserve"> </w:t>
      </w:r>
      <w:r>
        <w:rPr>
          <w:b/>
          <w:bCs/>
        </w:rPr>
        <w:t xml:space="preserve">1994</w:t>
      </w:r>
      <w:r>
        <w:t xml:space="preserve">: A landmark</w:t>
      </w:r>
      <w:r>
        <w:t xml:space="preserve"> </w:t>
      </w:r>
      <w:r>
        <w:rPr>
          <w:i/>
          <w:iCs/>
        </w:rPr>
        <w:t xml:space="preserve">Business Week</w:t>
      </w:r>
      <w:r>
        <w:t xml:space="preserve"> </w:t>
      </w:r>
      <w:r>
        <w:t xml:space="preserve">cover story declared that MBA programs had</w:t>
      </w:r>
      <w:r>
        <w:t xml:space="preserve"> </w:t>
      </w:r>
      <w:r>
        <w:t xml:space="preserve">“lost touch”</w:t>
      </w:r>
      <w:r>
        <w:t xml:space="preserve"> </w:t>
      </w:r>
      <w:r>
        <w:t xml:space="preserve">with business reality — the article is widely cited as the trigger for AACSB’s first relevance-focused accreditation reforms</w:t>
      </w:r>
    </w:p>
    <w:p>
      <w:pPr>
        <w:pStyle w:val="BodyText"/>
      </w:pPr>
      <w:r>
        <w:t xml:space="preserve">The</w:t>
      </w:r>
      <w:r>
        <w:t xml:space="preserve"> </w:t>
      </w:r>
      <w:r>
        <w:rPr>
          <w:b/>
          <w:bCs/>
        </w:rPr>
        <w:t xml:space="preserve">first formal academic treatment of the pracademic identity</w:t>
      </w:r>
      <w:r>
        <w:t xml:space="preserve"> </w:t>
      </w:r>
      <w:r>
        <w:t xml:space="preserve">as a distinct professional category appeared in public administration journals in the late 1990s. Scholars like David Boud and Nancy Falchikov, writing on professional learning and practice-based research, helped establish the theoretical foundations. The term migrated into management education through the early 2000s as business schools began hiring executives into faculty roles and needed language for this new category.</w:t>
      </w:r>
    </w:p>
    <w:p>
      <w:pPr>
        <w:pStyle w:val="BodyText"/>
      </w:pPr>
      <w:r>
        <w:t xml:space="preserve">Key figures who shaped the concept’s legitimacy:</w:t>
      </w:r>
      <w:r>
        <w:t xml:space="preserve"> </w:t>
      </w:r>
      <w:r>
        <w:t xml:space="preserve">-</w:t>
      </w:r>
      <w:r>
        <w:t xml:space="preserve"> </w:t>
      </w:r>
      <w:r>
        <w:rPr>
          <w:b/>
          <w:bCs/>
        </w:rPr>
        <w:t xml:space="preserve">Henry Mintzberg</w:t>
      </w:r>
      <w:r>
        <w:t xml:space="preserve"> </w:t>
      </w:r>
      <w:r>
        <w:t xml:space="preserve">(McGill University): His 2004 book</w:t>
      </w:r>
      <w:r>
        <w:t xml:space="preserve"> </w:t>
      </w:r>
      <w:r>
        <w:rPr>
          <w:i/>
          <w:iCs/>
        </w:rPr>
        <w:t xml:space="preserve">Managers Not MBAs</w:t>
      </w:r>
      <w:r>
        <w:t xml:space="preserve"> </w:t>
      </w:r>
      <w:r>
        <w:t xml:space="preserve">articulated the crisis of pure-theory management education and implicitly described the pracademic’s value proposition</w:t>
      </w:r>
      <w:r>
        <w:t xml:space="preserve"> </w:t>
      </w:r>
      <w:r>
        <w:t xml:space="preserve">-</w:t>
      </w:r>
      <w:r>
        <w:t xml:space="preserve"> </w:t>
      </w:r>
      <w:r>
        <w:rPr>
          <w:b/>
          <w:bCs/>
        </w:rPr>
        <w:t xml:space="preserve">Roger Martin</w:t>
      </w:r>
      <w:r>
        <w:t xml:space="preserve"> </w:t>
      </w:r>
      <w:r>
        <w:t xml:space="preserve">(Rotman School): As dean, formalized the integrative thinking model that blends academic rigor with business practice, creating institutional infrastructure for pracademic faculty</w:t>
      </w:r>
      <w:r>
        <w:t xml:space="preserve"> </w:t>
      </w:r>
      <w:r>
        <w:t xml:space="preserve">-</w:t>
      </w:r>
      <w:r>
        <w:t xml:space="preserve"> </w:t>
      </w:r>
      <w:r>
        <w:rPr>
          <w:b/>
          <w:bCs/>
        </w:rPr>
        <w:t xml:space="preserve">Warren Bennis and James O’Toole</w:t>
      </w:r>
      <w:r>
        <w:t xml:space="preserve">: Their 2005</w:t>
      </w:r>
      <w:r>
        <w:t xml:space="preserve"> </w:t>
      </w:r>
      <w:r>
        <w:rPr>
          <w:i/>
          <w:iCs/>
        </w:rPr>
        <w:t xml:space="preserve">Harvard Business Review</w:t>
      </w:r>
      <w:r>
        <w:t xml:space="preserve"> </w:t>
      </w:r>
      <w:r>
        <w:t xml:space="preserve">article</w:t>
      </w:r>
      <w:r>
        <w:t xml:space="preserve"> </w:t>
      </w:r>
      <w:r>
        <w:t xml:space="preserve">“How Business Schools Lost Their Way”</w:t>
      </w:r>
      <w:r>
        <w:t xml:space="preserve"> </w:t>
      </w:r>
      <w:r>
        <w:t xml:space="preserve">made the relevance crisis mainstream and accelerated demand for practice-oriented faculty</w:t>
      </w:r>
    </w:p>
    <w:bookmarkEnd w:id="11"/>
    <w:bookmarkStart w:id="12" w:name="early-roots-1980s2000s"/>
    <w:p>
      <w:pPr>
        <w:pStyle w:val="Heading3"/>
      </w:pPr>
      <w:r>
        <w:t xml:space="preserve">Early Roots (1980s–2000s)</w:t>
      </w:r>
    </w:p>
    <w:p>
      <w:pPr>
        <w:pStyle w:val="FirstParagraph"/>
      </w:pPr>
      <w:r>
        <w:t xml:space="preserve">The institutionalization of the pracademic model accelerated in the late 1990s and 2000s when AACSB began formalizing faculty qualification categories. The creation of the</w:t>
      </w:r>
      <w:r>
        <w:t xml:space="preserve"> </w:t>
      </w:r>
      <w:r>
        <w:rPr>
          <w:b/>
          <w:bCs/>
        </w:rPr>
        <w:t xml:space="preserve">Practice Academic (PA)</w:t>
      </w:r>
      <w:r>
        <w:t xml:space="preserve"> </w:t>
      </w:r>
      <w:r>
        <w:t xml:space="preserve">and</w:t>
      </w:r>
      <w:r>
        <w:t xml:space="preserve"> </w:t>
      </w:r>
      <w:r>
        <w:rPr>
          <w:b/>
          <w:bCs/>
        </w:rPr>
        <w:t xml:space="preserve">Scholarly Practitioner (SP)</w:t>
      </w:r>
      <w:r>
        <w:t xml:space="preserve"> </w:t>
      </w:r>
      <w:r>
        <w:t xml:space="preserve">classifications acknowledged, for the first time in accreditation standards, that industry experience could substitute for or supplement traditional scholarly credentials.</w:t>
      </w:r>
    </w:p>
    <w:p>
      <w:pPr>
        <w:pStyle w:val="BodyText"/>
      </w:pPr>
      <w:r>
        <w:t xml:space="preserve">In business education, the critique of the pure-scholar model accelerated after the 1994</w:t>
      </w:r>
      <w:r>
        <w:t xml:space="preserve"> </w:t>
      </w:r>
      <w:r>
        <w:rPr>
          <w:i/>
          <w:iCs/>
        </w:rPr>
        <w:t xml:space="preserve">Business Week</w:t>
      </w:r>
      <w:r>
        <w:t xml:space="preserve"> </w:t>
      </w:r>
      <w:r>
        <w:t xml:space="preserve">story. The Association to Advance Collegiate Schools of Business (AACSB) responded with a series of mission-linked accreditation reforms that gave formal legitimacy to practitioners in faculty roles.</w:t>
      </w:r>
    </w:p>
    <w:bookmarkEnd w:id="12"/>
    <w:bookmarkStart w:id="13" w:name="formalization-2010s"/>
    <w:p>
      <w:pPr>
        <w:pStyle w:val="Heading3"/>
      </w:pPr>
      <w:r>
        <w:t xml:space="preserve">Formalization (2010s)</w:t>
      </w:r>
    </w:p>
    <w:p>
      <w:pPr>
        <w:pStyle w:val="FirstParagraph"/>
      </w:pPr>
      <w:r>
        <w:t xml:space="preserve">The 2010s saw the pracademic model gain institutional infrastructure:</w:t>
      </w:r>
    </w:p>
    <w:p>
      <w:pPr>
        <w:pStyle w:val="Compact"/>
        <w:numPr>
          <w:ilvl w:val="0"/>
          <w:numId w:val="1002"/>
        </w:numPr>
      </w:pPr>
      <w:r>
        <w:rPr>
          <w:b/>
          <w:bCs/>
        </w:rPr>
        <w:t xml:space="preserve">Springer published</w:t>
      </w:r>
      <w:r>
        <w:t xml:space="preserve"> </w:t>
      </w:r>
      <w:r>
        <w:t xml:space="preserve">the first dedicated monograph series on pracademic identity, including Erich Kolenaty and David Hunt’s work on navigating dual roles</w:t>
      </w:r>
    </w:p>
    <w:p>
      <w:pPr>
        <w:pStyle w:val="Compact"/>
        <w:numPr>
          <w:ilvl w:val="0"/>
          <w:numId w:val="1002"/>
        </w:numPr>
      </w:pPr>
      <w:r>
        <w:rPr>
          <w:b/>
          <w:bCs/>
        </w:rPr>
        <w:t xml:space="preserve">Development in Practice</w:t>
      </w:r>
      <w:r>
        <w:t xml:space="preserve"> </w:t>
      </w:r>
      <w:r>
        <w:t xml:space="preserve">(a leading applied social science journal) began publishing research</w:t>
      </w:r>
      <w:r>
        <w:t xml:space="preserve"> </w:t>
      </w:r>
      <w:r>
        <w:rPr>
          <w:i/>
          <w:iCs/>
        </w:rPr>
        <w:t xml:space="preserve">by</w:t>
      </w:r>
      <w:r>
        <w:t xml:space="preserve"> </w:t>
      </w:r>
      <w:r>
        <w:t xml:space="preserve">pracademics rather than merely</w:t>
      </w:r>
      <w:r>
        <w:t xml:space="preserve"> </w:t>
      </w:r>
      <w:r>
        <w:rPr>
          <w:i/>
          <w:iCs/>
        </w:rPr>
        <w:t xml:space="preserve">about</w:t>
      </w:r>
      <w:r>
        <w:t xml:space="preserve"> </w:t>
      </w:r>
      <w:r>
        <w:t xml:space="preserve">them</w:t>
      </w:r>
    </w:p>
    <w:p>
      <w:pPr>
        <w:pStyle w:val="Compact"/>
        <w:numPr>
          <w:ilvl w:val="0"/>
          <w:numId w:val="1002"/>
        </w:numPr>
      </w:pPr>
      <w:r>
        <w:rPr>
          <w:b/>
          <w:bCs/>
        </w:rPr>
        <w:t xml:space="preserve">Harvard Business School</w:t>
      </w:r>
      <w:r>
        <w:t xml:space="preserve"> </w:t>
      </w:r>
      <w:r>
        <w:t xml:space="preserve">and</w:t>
      </w:r>
      <w:r>
        <w:t xml:space="preserve"> </w:t>
      </w:r>
      <w:r>
        <w:rPr>
          <w:b/>
          <w:bCs/>
        </w:rPr>
        <w:t xml:space="preserve">Stanford GSB</w:t>
      </w:r>
      <w:r>
        <w:t xml:space="preserve"> </w:t>
      </w:r>
      <w:r>
        <w:t xml:space="preserve">formalized senior lecturer and professor of practice tracks with explicit practitioner-credential pathways</w:t>
      </w:r>
    </w:p>
    <w:p>
      <w:pPr>
        <w:pStyle w:val="Compact"/>
        <w:numPr>
          <w:ilvl w:val="0"/>
          <w:numId w:val="1002"/>
        </w:numPr>
      </w:pPr>
      <w:r>
        <w:t xml:space="preserve">The term entered management education vocabulary through AACSB’s Bridge to Practice initiative, which explicitly celebrated the pracademic model as a solution to the relevance gap</w:t>
      </w:r>
    </w:p>
    <w:p>
      <w:pPr>
        <w:pStyle w:val="Compact"/>
        <w:numPr>
          <w:ilvl w:val="0"/>
          <w:numId w:val="1002"/>
        </w:numPr>
      </w:pPr>
      <w:r>
        <w:rPr>
          <w:b/>
          <w:bCs/>
        </w:rPr>
        <w:t xml:space="preserve">Journal of Management Education</w:t>
      </w:r>
      <w:r>
        <w:t xml:space="preserve"> </w:t>
      </w:r>
      <w:r>
        <w:t xml:space="preserve">published multiple special issues on practice-based learning and the practitioner-scholar identity, building a peer-reviewed body of literature on the model</w:t>
      </w:r>
    </w:p>
    <w:bookmarkEnd w:id="13"/>
    <w:bookmarkStart w:id="14" w:name="key-milestones-timeline"/>
    <w:p>
      <w:pPr>
        <w:pStyle w:val="Heading3"/>
      </w:pPr>
      <w:r>
        <w:t xml:space="preserve">Key Milestones Timeline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Milestone</w:t>
            </w:r>
          </w:p>
        </w:tc>
      </w:tr>
      <w:tr>
        <w:tc>
          <w:tcPr/>
          <w:p>
            <w:pPr>
              <w:pStyle w:val="Compact"/>
            </w:pPr>
            <w:r>
              <w:t xml:space="preserve">1981</w:t>
            </w:r>
          </w:p>
        </w:tc>
        <w:tc>
          <w:tcPr/>
          <w:p>
            <w:pPr>
              <w:pStyle w:val="Compact"/>
            </w:pPr>
            <w:r>
              <w:t xml:space="preserve">Meehan’s</w:t>
            </w:r>
            <w:r>
              <w:t xml:space="preserve"> </w:t>
            </w:r>
            <w:r>
              <w:t xml:space="preserve">“policy intellectual”</w:t>
            </w:r>
            <w:r>
              <w:t xml:space="preserve"> </w:t>
            </w:r>
            <w:r>
              <w:t xml:space="preserve">concept lays groundwork in public administration</w:t>
            </w:r>
          </w:p>
        </w:tc>
      </w:tr>
      <w:tr>
        <w:tc>
          <w:tcPr/>
          <w:p>
            <w:pPr>
              <w:pStyle w:val="Compact"/>
            </w:pPr>
            <w:r>
              <w:t xml:space="preserve">1994</w:t>
            </w:r>
          </w:p>
        </w:tc>
        <w:tc>
          <w:tcPr/>
          <w:p>
            <w:pPr>
              <w:pStyle w:val="Compact"/>
            </w:pPr>
            <w:r>
              <w:rPr>
                <w:i/>
                <w:iCs/>
              </w:rPr>
              <w:t xml:space="preserve">Business Week</w:t>
            </w:r>
            <w:r>
              <w:t xml:space="preserve"> </w:t>
            </w:r>
            <w:r>
              <w:t xml:space="preserve">“lost touch”</w:t>
            </w:r>
            <w:r>
              <w:t xml:space="preserve"> </w:t>
            </w:r>
            <w:r>
              <w:t xml:space="preserve">cover story triggers AACSB relevance reforms</w:t>
            </w:r>
          </w:p>
        </w:tc>
      </w:tr>
      <w:tr>
        <w:tc>
          <w:tcPr/>
          <w:p>
            <w:pPr>
              <w:pStyle w:val="Compact"/>
            </w:pPr>
            <w:r>
              <w:t xml:space="preserve">2000</w:t>
            </w:r>
          </w:p>
        </w:tc>
        <w:tc>
          <w:tcPr/>
          <w:p>
            <w:pPr>
              <w:pStyle w:val="Compact"/>
            </w:pPr>
            <w:r>
              <w:t xml:space="preserve">AACSB formalizes PA and SP faculty qualification categories</w:t>
            </w:r>
          </w:p>
        </w:tc>
      </w:tr>
      <w:tr>
        <w:tc>
          <w:tcPr/>
          <w:p>
            <w:pPr>
              <w:pStyle w:val="Compact"/>
            </w:pPr>
            <w:r>
              <w:t xml:space="preserve">2004</w:t>
            </w:r>
          </w:p>
        </w:tc>
        <w:tc>
          <w:tcPr/>
          <w:p>
            <w:pPr>
              <w:pStyle w:val="Compact"/>
            </w:pPr>
            <w:r>
              <w:t xml:space="preserve">Mintzberg’s</w:t>
            </w:r>
            <w:r>
              <w:t xml:space="preserve"> </w:t>
            </w:r>
            <w:r>
              <w:rPr>
                <w:i/>
                <w:iCs/>
              </w:rPr>
              <w:t xml:space="preserve">Managers Not MBAs</w:t>
            </w:r>
            <w:r>
              <w:t xml:space="preserve"> </w:t>
            </w:r>
            <w:r>
              <w:t xml:space="preserve">validates practice-based management education</w:t>
            </w:r>
          </w:p>
        </w:tc>
      </w:tr>
      <w:tr>
        <w:tc>
          <w:tcPr/>
          <w:p>
            <w:pPr>
              <w:pStyle w:val="Compact"/>
            </w:pPr>
            <w:r>
              <w:t xml:space="preserve">2005</w:t>
            </w:r>
          </w:p>
        </w:tc>
        <w:tc>
          <w:tcPr/>
          <w:p>
            <w:pPr>
              <w:pStyle w:val="Compact"/>
            </w:pPr>
            <w:r>
              <w:t xml:space="preserve">Bennis &amp; O’Toole</w:t>
            </w:r>
            <w:r>
              <w:t xml:space="preserve"> </w:t>
            </w:r>
            <w:r>
              <w:t xml:space="preserve">“How Business Schools Lost Their Way”</w:t>
            </w:r>
            <w:r>
              <w:t xml:space="preserve"> </w:t>
            </w:r>
            <w:r>
              <w:t xml:space="preserve">in HBR</w:t>
            </w:r>
          </w:p>
        </w:tc>
      </w:tr>
      <w:tr>
        <w:tc>
          <w:tcPr/>
          <w:p>
            <w:pPr>
              <w:pStyle w:val="Compact"/>
            </w:pPr>
            <w:r>
              <w:t xml:space="preserve">2010s</w:t>
            </w:r>
          </w:p>
        </w:tc>
        <w:tc>
          <w:tcPr/>
          <w:p>
            <w:pPr>
              <w:pStyle w:val="Compact"/>
            </w:pPr>
            <w:r>
              <w:t xml:space="preserve">Springer publishes pracademic identity monograph series</w:t>
            </w:r>
          </w:p>
        </w:tc>
      </w:tr>
      <w:tr>
        <w:tc>
          <w:tcPr/>
          <w:p>
            <w:pPr>
              <w:pStyle w:val="Compact"/>
            </w:pPr>
            <w:r>
              <w:t xml:space="preserve">2014</w:t>
            </w:r>
          </w:p>
        </w:tc>
        <w:tc>
          <w:tcPr/>
          <w:p>
            <w:pPr>
              <w:pStyle w:val="Compact"/>
            </w:pPr>
            <w:r>
              <w:t xml:space="preserve">AACSB Bridge to Practice initiative formally launched</w:t>
            </w:r>
          </w:p>
        </w:tc>
      </w:tr>
      <w:tr>
        <w:tc>
          <w:tcPr/>
          <w:p>
            <w:pPr>
              <w:pStyle w:val="Compact"/>
            </w:pPr>
            <w:r>
              <w:t xml:space="preserve">2020</w:t>
            </w:r>
          </w:p>
        </w:tc>
        <w:tc>
          <w:tcPr/>
          <w:p>
            <w:pPr>
              <w:pStyle w:val="Compact"/>
            </w:pPr>
            <w:r>
              <w:t xml:space="preserve">Remote work accelerates geographic barrier removal for dual-role careers</w:t>
            </w:r>
          </w:p>
        </w:tc>
      </w:tr>
      <w:tr>
        <w:tc>
          <w:tcPr/>
          <w:p>
            <w:pPr>
              <w:pStyle w:val="Compact"/>
            </w:pPr>
            <w:r>
              <w:t xml:space="preserve">2025</w:t>
            </w:r>
          </w:p>
        </w:tc>
        <w:tc>
          <w:tcPr/>
          <w:p>
            <w:pPr>
              <w:pStyle w:val="Compact"/>
            </w:pPr>
            <w:r>
              <w:rPr>
                <w:i/>
                <w:iCs/>
              </w:rPr>
              <w:t xml:space="preserve">Nature</w:t>
            </w:r>
            <w:r>
              <w:t xml:space="preserve"> </w:t>
            </w:r>
            <w:r>
              <w:t xml:space="preserve">profiles McKinsey partner/associate professor as model for future of knowledge work</w:t>
            </w:r>
          </w:p>
        </w:tc>
      </w:tr>
      <w:tr>
        <w:tc>
          <w:tcPr/>
          <w:p>
            <w:pPr>
              <w:pStyle w:val="Compact"/>
            </w:pPr>
            <w:r>
              <w:t xml:space="preserve">2025</w:t>
            </w:r>
          </w:p>
        </w:tc>
        <w:tc>
          <w:tcPr/>
          <w:p>
            <w:pPr>
              <w:pStyle w:val="Compact"/>
            </w:pPr>
            <w:r>
              <w:rPr>
                <w:i/>
                <w:iCs/>
              </w:rPr>
              <w:t xml:space="preserve">Development in Practice</w:t>
            </w:r>
            <w:r>
              <w:t xml:space="preserve"> </w:t>
            </w:r>
            <w:r>
              <w:t xml:space="preserve">special issue:</w:t>
            </w:r>
            <w:r>
              <w:t xml:space="preserve"> </w:t>
            </w:r>
            <w:r>
              <w:t xml:space="preserve">“Pracademics as Change Agents”</w:t>
            </w:r>
          </w:p>
        </w:tc>
      </w:tr>
      <w:tr>
        <w:tc>
          <w:tcPr/>
          <w:p>
            <w:pPr>
              <w:pStyle w:val="Compact"/>
            </w:pPr>
            <w:r>
              <w:t xml:space="preserve">2026</w:t>
            </w:r>
          </w:p>
        </w:tc>
        <w:tc>
          <w:tcPr/>
          <w:p>
            <w:pPr>
              <w:pStyle w:val="Compact"/>
            </w:pPr>
            <w:r>
              <w:t xml:space="preserve">AACSB Global Standards (effective) further expand PA/SP pathways</w:t>
            </w:r>
          </w:p>
        </w:tc>
      </w:tr>
    </w:tbl>
    <w:bookmarkEnd w:id="14"/>
    <w:bookmarkStart w:id="15" w:name="X793d688b46c8a5d1d7584bed7878cefe29ddfbb"/>
    <w:p>
      <w:pPr>
        <w:pStyle w:val="Heading3"/>
      </w:pPr>
      <w:r>
        <w:t xml:space="preserve">Current Institutional Status (2020s–Present)</w:t>
      </w:r>
    </w:p>
    <w:p>
      <w:pPr>
        <w:pStyle w:val="FirstParagraph"/>
      </w:pPr>
      <w:r>
        <w:t xml:space="preserve">By the mid-2020s, the pracademic model has achieved mainstream legitimacy:</w:t>
      </w:r>
    </w:p>
    <w:p>
      <w:pPr>
        <w:pStyle w:val="Compact"/>
        <w:numPr>
          <w:ilvl w:val="0"/>
          <w:numId w:val="1003"/>
        </w:numPr>
      </w:pPr>
      <w:r>
        <w:rPr>
          <w:i/>
          <w:iCs/>
        </w:rPr>
        <w:t xml:space="preserve">Nature</w:t>
      </w:r>
      <w:r>
        <w:t xml:space="preserve"> </w:t>
      </w:r>
      <w:r>
        <w:t xml:space="preserve">(March 2025) profiled a McKinsey partner who simultaneously holds an associate professorship, framing the dual role not as a curiosity but as a model for the future of knowledge work</w:t>
      </w:r>
    </w:p>
    <w:p>
      <w:pPr>
        <w:pStyle w:val="Compact"/>
        <w:numPr>
          <w:ilvl w:val="0"/>
          <w:numId w:val="1003"/>
        </w:numPr>
      </w:pPr>
      <w:r>
        <w:rPr>
          <w:i/>
          <w:iCs/>
        </w:rPr>
        <w:t xml:space="preserve">Development in Practice</w:t>
      </w:r>
      <w:r>
        <w:t xml:space="preserve"> </w:t>
      </w:r>
      <w:r>
        <w:t xml:space="preserve">dedicated its entire 2025 special issue to</w:t>
      </w:r>
      <w:r>
        <w:t xml:space="preserve"> </w:t>
      </w:r>
      <w:r>
        <w:rPr>
          <w:b/>
          <w:bCs/>
        </w:rPr>
        <w:t xml:space="preserve">“Pracademics as Change Agents”</w:t>
      </w:r>
      <w:r>
        <w:t xml:space="preserve"> </w:t>
      </w:r>
      <w:r>
        <w:t xml:space="preserve">— the first time a major academic journal devoted a full issue to the identity</w:t>
      </w:r>
    </w:p>
    <w:p>
      <w:pPr>
        <w:pStyle w:val="Compact"/>
        <w:numPr>
          <w:ilvl w:val="0"/>
          <w:numId w:val="1003"/>
        </w:numPr>
      </w:pPr>
      <w:r>
        <w:t xml:space="preserve">AACSB’s forthcoming</w:t>
      </w:r>
      <w:r>
        <w:t xml:space="preserve"> </w:t>
      </w:r>
      <w:r>
        <w:rPr>
          <w:b/>
          <w:bCs/>
        </w:rPr>
        <w:t xml:space="preserve">Global Standards (effective 2026)</w:t>
      </w:r>
      <w:r>
        <w:t xml:space="preserve"> </w:t>
      </w:r>
      <w:r>
        <w:t xml:space="preserve">further strengthen formal pathways for practice-oriented academics, expanding the PA and SP classification criteria</w:t>
      </w:r>
    </w:p>
    <w:p>
      <w:pPr>
        <w:pStyle w:val="Compact"/>
        <w:numPr>
          <w:ilvl w:val="0"/>
          <w:numId w:val="1003"/>
        </w:numPr>
      </w:pPr>
      <w:r>
        <w:t xml:space="preserve">Approximately</w:t>
      </w:r>
      <w:r>
        <w:t xml:space="preserve"> </w:t>
      </w:r>
      <w:r>
        <w:rPr>
          <w:b/>
          <w:bCs/>
        </w:rPr>
        <w:t xml:space="preserve">73% of all U.S. faculty positions</w:t>
      </w:r>
      <w:r>
        <w:t xml:space="preserve"> </w:t>
      </w:r>
      <w:r>
        <w:t xml:space="preserve">are now off the tenure track, and business schools lead this shift — many have formalized Clinical and Professor of Practice tracks with multi-year renewable contracts and explicit promotion ladders</w:t>
      </w:r>
    </w:p>
    <w:p>
      <w:r>
        <w:pict>
          <v:rect style="width:0;height:1.5pt" o:hralign="center" o:hrstd="t" o:hr="t"/>
        </w:pict>
      </w:r>
    </w:p>
    <w:bookmarkEnd w:id="15"/>
    <w:bookmarkEnd w:id="16"/>
    <w:bookmarkStart w:id="17" w:name="the-relevance-crisis-that-created-demand"/>
    <w:p>
      <w:pPr>
        <w:pStyle w:val="Heading2"/>
      </w:pPr>
      <w:r>
        <w:t xml:space="preserve">The Relevance Crisis That Created Demand</w:t>
      </w:r>
    </w:p>
    <w:p>
      <w:pPr>
        <w:pStyle w:val="FirstParagraph"/>
      </w:pPr>
      <w:r>
        <w:t xml:space="preserve">The pracademic’s rise is inseparable from the crisis it addresses. AACSB — the global accreditor for</w:t>
      </w:r>
      <w:r>
        <w:t xml:space="preserve"> </w:t>
      </w:r>
      <w:r>
        <w:rPr>
          <w:b/>
          <w:bCs/>
        </w:rPr>
        <w:t xml:space="preserve">1,075 business schools</w:t>
      </w:r>
      <w:r>
        <w:t xml:space="preserve"> </w:t>
      </w:r>
      <w:r>
        <w:t xml:space="preserve">employing roughly</w:t>
      </w:r>
      <w:r>
        <w:t xml:space="preserve"> </w:t>
      </w:r>
      <w:r>
        <w:rPr>
          <w:b/>
          <w:bCs/>
        </w:rPr>
        <w:t xml:space="preserve">34,600 full-time faculty</w:t>
      </w:r>
      <w:r>
        <w:t xml:space="preserve"> </w:t>
      </w:r>
      <w:r>
        <w:t xml:space="preserve">— has characterized the gap between academic research and real business problems as an</w:t>
      </w:r>
      <w:r>
        <w:t xml:space="preserve"> </w:t>
      </w:r>
      <w:r>
        <w:t xml:space="preserve">“extinction-level event”</w:t>
      </w:r>
      <w:r>
        <w:t xml:space="preserve"> </w:t>
      </w:r>
      <w:r>
        <w:t xml:space="preserve">for business schools that fail to adapt. The Financial Times launched a new research ranking in 2025 explicitly measuring</w:t>
      </w:r>
      <w:r>
        <w:t xml:space="preserve"> </w:t>
      </w:r>
      <w:r>
        <w:rPr>
          <w:i/>
          <w:iCs/>
        </w:rPr>
        <w:t xml:space="preserve">relevance, resonance, and rigor</w:t>
      </w:r>
      <w:r>
        <w:t xml:space="preserve">, and Wharton’s Dean Erika James stated plainly:</w:t>
      </w:r>
      <w:r>
        <w:t xml:space="preserve"> </w:t>
      </w:r>
      <w:r>
        <w:t xml:space="preserve">“Business schools need to be in service to business.”</w:t>
      </w:r>
    </w:p>
    <w:p>
      <w:pPr>
        <w:pStyle w:val="BodyText"/>
      </w:pPr>
      <w:r>
        <w:t xml:space="preserve">The structural problem: traditional tenure-track faculty are rewarded primarily for publishing in peer-reviewed journals that practicing managers rarely read. Research in top management journals has an average citation lag of 3–7 years before reaching practice — far too slow for the pace of digital transformation, AI adoption, and organizational change that companies face today. AACSB data shows that</w:t>
      </w:r>
      <w:r>
        <w:t xml:space="preserve"> </w:t>
      </w:r>
      <w:r>
        <w:rPr>
          <w:b/>
          <w:bCs/>
        </w:rPr>
        <w:t xml:space="preserve">PA (Practice Academic) instructors</w:t>
      </w:r>
      <w:r>
        <w:t xml:space="preserve"> </w:t>
      </w:r>
      <w:r>
        <w:t xml:space="preserve">actually earn</w:t>
      </w:r>
      <w:r>
        <w:t xml:space="preserve"> </w:t>
      </w:r>
      <w:r>
        <w:rPr>
          <w:b/>
          <w:bCs/>
        </w:rPr>
        <w:t xml:space="preserve">$103K on average</w:t>
      </w:r>
      <w:r>
        <w:t xml:space="preserve"> </w:t>
      </w:r>
      <w:r>
        <w:t xml:space="preserve">compared to</w:t>
      </w:r>
      <w:r>
        <w:t xml:space="preserve"> </w:t>
      </w:r>
      <w:r>
        <w:rPr>
          <w:b/>
          <w:bCs/>
        </w:rPr>
        <w:t xml:space="preserve">$84K for SA (Scholarly Academic)</w:t>
      </w:r>
      <w:r>
        <w:t xml:space="preserve"> </w:t>
      </w:r>
      <w:r>
        <w:t xml:space="preserve">instructors at the entry level — the market has already priced in the industry-experience premium.</w:t>
      </w:r>
    </w:p>
    <w:p>
      <w:r>
        <w:pict>
          <v:rect style="width:0;height:1.5pt" o:hralign="center" o:hrstd="t" o:hr="t"/>
        </w:pict>
      </w:r>
    </w:p>
    <w:bookmarkEnd w:id="17"/>
    <w:bookmarkStart w:id="24" w:name="X0f6915dddb3ecec6daa19ee2a1d9f07cc8860c9"/>
    <w:p>
      <w:pPr>
        <w:pStyle w:val="Heading2"/>
      </w:pPr>
      <w:r>
        <w:t xml:space="preserve">Six Converging Forces Driving US Demand (2025–2030)</w:t>
      </w:r>
    </w:p>
    <w:p>
      <w:pPr>
        <w:pStyle w:val="FirstParagraph"/>
      </w:pPr>
      <w:r>
        <w:t xml:space="preserve">Six simultaneous trends produce the strongest demand environment for pracademics in decades:</w:t>
      </w:r>
    </w:p>
    <w:bookmarkStart w:id="18" w:name="the-academic-relevance-crisis"/>
    <w:p>
      <w:pPr>
        <w:pStyle w:val="Heading3"/>
      </w:pPr>
      <w:r>
        <w:t xml:space="preserve">1. The Academic Relevance Crisis</w:t>
      </w:r>
    </w:p>
    <w:p>
      <w:pPr>
        <w:pStyle w:val="FirstParagraph"/>
      </w:pPr>
      <w:r>
        <w:t xml:space="preserve">AACSB’s extinction-level characterization has forced business schools to act.</w:t>
      </w:r>
      <w:r>
        <w:t xml:space="preserve"> </w:t>
      </w:r>
      <w:r>
        <w:rPr>
          <w:b/>
          <w:bCs/>
        </w:rPr>
        <w:t xml:space="preserve">30–45% of faculty</w:t>
      </w:r>
      <w:r>
        <w:t xml:space="preserve"> </w:t>
      </w:r>
      <w:r>
        <w:t xml:space="preserve">at regional business schools are already practitioners. The incoming 2026 Global Standards expand PA/SP pathways further, creating durable structural demand.</w:t>
      </w:r>
    </w:p>
    <w:bookmarkEnd w:id="18"/>
    <w:bookmarkStart w:id="19" w:name="X3a5fb78ebf6a28005b8253e744f6f6006ff7d53"/>
    <w:p>
      <w:pPr>
        <w:pStyle w:val="Heading3"/>
      </w:pPr>
      <w:r>
        <w:t xml:space="preserve">2. The Digital Transformation Talent Shortage</w:t>
      </w:r>
    </w:p>
    <w:p>
      <w:pPr>
        <w:pStyle w:val="FirstParagraph"/>
      </w:pPr>
      <w:r>
        <w:t xml:space="preserve">TEKsystems reports that</w:t>
      </w:r>
      <w:r>
        <w:t xml:space="preserve"> </w:t>
      </w:r>
      <w:r>
        <w:rPr>
          <w:b/>
          <w:bCs/>
        </w:rPr>
        <w:t xml:space="preserve">9 in 10 organizations</w:t>
      </w:r>
      <w:r>
        <w:t xml:space="preserve"> </w:t>
      </w:r>
      <w:r>
        <w:t xml:space="preserve">lack sufficient talent for digital transformation, with half taking more than six months to fill mission-critical roles. Gartner estimates global IT spending reached</w:t>
      </w:r>
      <w:r>
        <w:t xml:space="preserve"> </w:t>
      </w:r>
      <w:r>
        <w:rPr>
          <w:b/>
          <w:bCs/>
        </w:rPr>
        <w:t xml:space="preserve">$5.7 trillion in 2025</w:t>
      </w:r>
      <w:r>
        <w:t xml:space="preserve">. Business schools teaching digital transformation need faculty who have actually led it — not merely studied it.</w:t>
      </w:r>
    </w:p>
    <w:bookmarkEnd w:id="19"/>
    <w:bookmarkStart w:id="20" w:name="the-ai-leadership-explosion"/>
    <w:p>
      <w:pPr>
        <w:pStyle w:val="Heading3"/>
      </w:pPr>
      <w:r>
        <w:t xml:space="preserve">3. The AI Leadership Explosion</w:t>
      </w:r>
    </w:p>
    <w:p>
      <w:pPr>
        <w:pStyle w:val="FirstParagraph"/>
      </w:pPr>
      <w:r>
        <w:t xml:space="preserve">IBM’s 2025 global study found</w:t>
      </w:r>
      <w:r>
        <w:t xml:space="preserve"> </w:t>
      </w:r>
      <w:r>
        <w:rPr>
          <w:b/>
          <w:bCs/>
        </w:rPr>
        <w:t xml:space="preserve">26% of organizations now have a Chief AI Officer</w:t>
      </w:r>
      <w:r>
        <w:t xml:space="preserve"> </w:t>
      </w:r>
      <w:r>
        <w:t xml:space="preserve">— more than doubling from 11% two years earlier. Among FTSE 100 companies, nearly</w:t>
      </w:r>
      <w:r>
        <w:t xml:space="preserve"> </w:t>
      </w:r>
      <w:r>
        <w:rPr>
          <w:b/>
          <w:bCs/>
        </w:rPr>
        <w:t xml:space="preserve">48% have a CAIO</w:t>
      </w:r>
      <w:r>
        <w:t xml:space="preserve">, with 42% of appointments made since January 2024. About</w:t>
      </w:r>
      <w:r>
        <w:t xml:space="preserve"> </w:t>
      </w:r>
      <w:r>
        <w:rPr>
          <w:b/>
          <w:bCs/>
        </w:rPr>
        <w:t xml:space="preserve">40% of CAIOs hold PhDs</w:t>
      </w:r>
      <w:r>
        <w:t xml:space="preserve">. The academic pipeline cannot produce enough AI-fluent researchers fast enough; pracademics who combine industry AI leadership with doctoral credentials fill this gap.</w:t>
      </w:r>
    </w:p>
    <w:bookmarkEnd w:id="20"/>
    <w:bookmarkStart w:id="21" w:name="the-pracademic-model-gaining-legitimacy"/>
    <w:p>
      <w:pPr>
        <w:pStyle w:val="Heading3"/>
      </w:pPr>
      <w:r>
        <w:t xml:space="preserve">4. The Pracademic Model Gaining Legitimacy</w:t>
      </w:r>
    </w:p>
    <w:p>
      <w:pPr>
        <w:pStyle w:val="FirstParagraph"/>
      </w:pPr>
      <w:r>
        <w:t xml:space="preserve">Remote and hybrid work has</w:t>
      </w:r>
      <w:r>
        <w:t xml:space="preserve"> </w:t>
      </w:r>
      <w:r>
        <w:rPr>
          <w:b/>
          <w:bCs/>
        </w:rPr>
        <w:t xml:space="preserve">eliminated geographic constraints</w:t>
      </w:r>
      <w:r>
        <w:t xml:space="preserve"> </w:t>
      </w:r>
      <w:r>
        <w:t xml:space="preserve">for consulting, advisory, and increasingly for teaching roles. AACSB’s Bridge to Practice initiative, Springer’s dedicated monograph series, and Nature’s profiling of the dual-role model have collectively elevated the pracademic from career curiosity to recognized professional category.</w:t>
      </w:r>
    </w:p>
    <w:bookmarkEnd w:id="21"/>
    <w:bookmarkStart w:id="22" w:name="remote-work-normalization"/>
    <w:p>
      <w:pPr>
        <w:pStyle w:val="Heading3"/>
      </w:pPr>
      <w:r>
        <w:t xml:space="preserve">5. Remote Work Normalization</w:t>
      </w:r>
    </w:p>
    <w:p>
      <w:pPr>
        <w:pStyle w:val="FirstParagraph"/>
      </w:pPr>
      <w:r>
        <w:t xml:space="preserve">With</w:t>
      </w:r>
      <w:r>
        <w:t xml:space="preserve"> </w:t>
      </w:r>
      <w:r>
        <w:rPr>
          <w:b/>
          <w:bCs/>
        </w:rPr>
        <w:t xml:space="preserve">24% of new job postings</w:t>
      </w:r>
      <w:r>
        <w:t xml:space="preserve"> </w:t>
      </w:r>
      <w:r>
        <w:t xml:space="preserve">offering hybrid arrangements and consulting at</w:t>
      </w:r>
      <w:r>
        <w:t xml:space="preserve"> </w:t>
      </w:r>
      <w:r>
        <w:rPr>
          <w:b/>
          <w:bCs/>
        </w:rPr>
        <w:t xml:space="preserve">68% remote adoption</w:t>
      </w:r>
      <w:r>
        <w:t xml:space="preserve">, pracademics can serve clients, advisory boards, and sometimes even teaching positions nationally from a single geographic base.</w:t>
      </w:r>
    </w:p>
    <w:bookmarkEnd w:id="22"/>
    <w:bookmarkStart w:id="23" w:name="above-average-bls-growth-projections"/>
    <w:p>
      <w:pPr>
        <w:pStyle w:val="Heading3"/>
      </w:pPr>
      <w:r>
        <w:t xml:space="preserve">6. Above-Average BLS Growth Projections</w:t>
      </w:r>
    </w:p>
    <w:p>
      <w:pPr>
        <w:pStyle w:val="FirstParagraph"/>
      </w:pPr>
      <w:r>
        <w:t xml:space="preserve">The Bureau of Labor Statistics projects above-average growth through 2034 across all relevant occupations:</w:t>
      </w:r>
      <w:r>
        <w:t xml:space="preserve"> </w:t>
      </w:r>
      <w:r>
        <w:t xml:space="preserve">- Postsecondary teachers:</w:t>
      </w:r>
      <w:r>
        <w:t xml:space="preserve"> </w:t>
      </w:r>
      <w:r>
        <w:rPr>
          <w:b/>
          <w:bCs/>
        </w:rPr>
        <w:t xml:space="preserve">+7%</w:t>
      </w:r>
      <w:r>
        <w:t xml:space="preserve"> </w:t>
      </w:r>
      <w:r>
        <w:t xml:space="preserve">- Computer and information systems managers:</w:t>
      </w:r>
      <w:r>
        <w:t xml:space="preserve"> </w:t>
      </w:r>
      <w:r>
        <w:rPr>
          <w:b/>
          <w:bCs/>
        </w:rPr>
        <w:t xml:space="preserve">+15%</w:t>
      </w:r>
      <w:r>
        <w:t xml:space="preserve"> </w:t>
      </w:r>
      <w:r>
        <w:t xml:space="preserve">- Management analysts (consulting):</w:t>
      </w:r>
      <w:r>
        <w:t xml:space="preserve"> </w:t>
      </w:r>
      <w:r>
        <w:rPr>
          <w:b/>
          <w:bCs/>
        </w:rPr>
        <w:t xml:space="preserve">+9%</w:t>
      </w:r>
    </w:p>
    <w:p>
      <w:r>
        <w:pict>
          <v:rect style="width:0;height:1.5pt" o:hralign="center" o:hrstd="t" o:hr="t"/>
        </w:pict>
      </w:r>
    </w:p>
    <w:bookmarkEnd w:id="23"/>
    <w:bookmarkEnd w:id="24"/>
    <w:bookmarkStart w:id="28" w:name="us-market-outlook"/>
    <w:p>
      <w:pPr>
        <w:pStyle w:val="Heading2"/>
      </w:pPr>
      <w:r>
        <w:t xml:space="preserve">US Market Outlook</w:t>
      </w:r>
    </w:p>
    <w:p>
      <w:pPr>
        <w:pStyle w:val="FirstParagraph"/>
      </w:pPr>
      <w:r>
        <w:t xml:space="preserve">The US market for pracademics is bifurcated by role type, with compensation ranging from</w:t>
      </w:r>
      <w:r>
        <w:t xml:space="preserve"> </w:t>
      </w:r>
      <w:r>
        <w:rPr>
          <w:b/>
          <w:bCs/>
        </w:rPr>
        <w:t xml:space="preserve">$120K–$175K</w:t>
      </w:r>
      <w:r>
        <w:t xml:space="preserve"> </w:t>
      </w:r>
      <w:r>
        <w:t xml:space="preserve">for professor of practice positions to</w:t>
      </w:r>
      <w:r>
        <w:t xml:space="preserve"> </w:t>
      </w:r>
      <w:r>
        <w:rPr>
          <w:b/>
          <w:bCs/>
        </w:rPr>
        <w:t xml:space="preserve">$300K–$600K+</w:t>
      </w:r>
      <w:r>
        <w:t xml:space="preserve"> </w:t>
      </w:r>
      <w:r>
        <w:t xml:space="preserve">for C-suite and consulting roles.</w:t>
      </w:r>
    </w:p>
    <w:bookmarkStart w:id="25" w:name="academic-market"/>
    <w:p>
      <w:pPr>
        <w:pStyle w:val="Heading3"/>
      </w:pPr>
      <w:r>
        <w:t xml:space="preserve">Academic Market</w:t>
      </w:r>
    </w:p>
    <w:p>
      <w:pPr>
        <w:pStyle w:val="FirstParagraph"/>
      </w:pPr>
      <w:r>
        <w:t xml:space="preserve">The professor of practice and clinical professor tracks represent the primary academic pathways. Key dynamics:</w:t>
      </w:r>
    </w:p>
    <w:p>
      <w:pPr>
        <w:pStyle w:val="Compact"/>
        <w:numPr>
          <w:ilvl w:val="0"/>
          <w:numId w:val="1004"/>
        </w:numPr>
      </w:pPr>
      <w:r>
        <w:rPr>
          <w:b/>
          <w:bCs/>
        </w:rPr>
        <w:t xml:space="preserve">AACSB accreditation compliance</w:t>
      </w:r>
      <w:r>
        <w:t xml:space="preserve"> </w:t>
      </w:r>
      <w:r>
        <w:t xml:space="preserve">creates structural, non-discretionary demand: Standard 3 requires at least 40% SA faculty, with SA+PA+SP comprising at least 60%. Every accredited school must maintain this ratio or risk losing accreditation.</w:t>
      </w:r>
    </w:p>
    <w:p>
      <w:pPr>
        <w:pStyle w:val="Compact"/>
        <w:numPr>
          <w:ilvl w:val="0"/>
          <w:numId w:val="1004"/>
        </w:numPr>
      </w:pPr>
      <w:r>
        <w:rPr>
          <w:b/>
          <w:bCs/>
        </w:rPr>
        <w:t xml:space="preserve">SA status window</w:t>
      </w:r>
      <w:r>
        <w:t xml:space="preserve">: A PhD completed in 2024 provides Scholarly Academic classification for approximately</w:t>
      </w:r>
      <w:r>
        <w:t xml:space="preserve"> </w:t>
      </w:r>
      <w:r>
        <w:rPr>
          <w:b/>
          <w:bCs/>
        </w:rPr>
        <w:t xml:space="preserve">five years (through ~2029)</w:t>
      </w:r>
      <w:r>
        <w:t xml:space="preserve"> </w:t>
      </w:r>
      <w:r>
        <w:t xml:space="preserve">— making recent PhD completers maximally valuable for accreditation compliance in the near term.</w:t>
      </w:r>
    </w:p>
    <w:p>
      <w:pPr>
        <w:pStyle w:val="Compact"/>
        <w:numPr>
          <w:ilvl w:val="0"/>
          <w:numId w:val="1004"/>
        </w:numPr>
      </w:pPr>
      <w:r>
        <w:t xml:space="preserve">Current postings reflect active demand: professor of practice roles at Tulane ($100K–$140K, start June 2026), Georgetown’s McDonough School ($145K–$170K), Colorado State ($150K–$195K), UT El Paso, TCU’s Neeley School, and NYU SPS.</w:t>
      </w:r>
    </w:p>
    <w:p>
      <w:pPr>
        <w:pStyle w:val="Compact"/>
        <w:numPr>
          <w:ilvl w:val="0"/>
          <w:numId w:val="1004"/>
        </w:numPr>
      </w:pPr>
      <w:r>
        <w:t xml:space="preserve">Elite private schools (NYU, Columbia, Georgetown) reach</w:t>
      </w:r>
      <w:r>
        <w:t xml:space="preserve"> </w:t>
      </w:r>
      <w:r>
        <w:rPr>
          <w:b/>
          <w:bCs/>
        </w:rPr>
        <w:t xml:space="preserve">$150K–$220K+</w:t>
      </w:r>
      <w:r>
        <w:t xml:space="preserve"> </w:t>
      </w:r>
      <w:r>
        <w:t xml:space="preserve">for practice-oriented faculty.</w:t>
      </w:r>
    </w:p>
    <w:bookmarkEnd w:id="25"/>
    <w:bookmarkStart w:id="26" w:name="industry-market"/>
    <w:p>
      <w:pPr>
        <w:pStyle w:val="Heading3"/>
      </w:pPr>
      <w:r>
        <w:t xml:space="preserve">Industry Market</w:t>
      </w:r>
    </w:p>
    <w:p>
      <w:pPr>
        <w:pStyle w:val="FirstParagraph"/>
      </w:pPr>
      <w:r>
        <w:t xml:space="preserve">The PhD premium in industry is well-documented: BLS data confirms PhD holders earn approximately</w:t>
      </w:r>
      <w:r>
        <w:t xml:space="preserve"> </w:t>
      </w:r>
      <w:r>
        <w:rPr>
          <w:b/>
          <w:bCs/>
        </w:rPr>
        <w:t xml:space="preserve">26% more weekly</w:t>
      </w:r>
      <w:r>
        <w:t xml:space="preserve"> </w:t>
      </w:r>
      <w:r>
        <w:t xml:space="preserve">than master’s degree holders. In strategic and advisory contexts, the premium compounds:</w:t>
      </w:r>
    </w:p>
    <w:p>
      <w:pPr>
        <w:pStyle w:val="Compact"/>
        <w:numPr>
          <w:ilvl w:val="0"/>
          <w:numId w:val="1005"/>
        </w:numPr>
      </w:pPr>
      <w:r>
        <w:t xml:space="preserve">CDO/CIO roles:</w:t>
      </w:r>
      <w:r>
        <w:t xml:space="preserve"> </w:t>
      </w:r>
      <w:r>
        <w:rPr>
          <w:b/>
          <w:bCs/>
        </w:rPr>
        <w:t xml:space="preserve">$250K–$400K base</w:t>
      </w:r>
      <w:r>
        <w:t xml:space="preserve">, $400K–$800K+ total compensation</w:t>
      </w:r>
    </w:p>
    <w:p>
      <w:pPr>
        <w:pStyle w:val="Compact"/>
        <w:numPr>
          <w:ilvl w:val="0"/>
          <w:numId w:val="1005"/>
        </w:numPr>
      </w:pPr>
      <w:r>
        <w:t xml:space="preserve">Chief AI Officer:</w:t>
      </w:r>
      <w:r>
        <w:t xml:space="preserve"> </w:t>
      </w:r>
      <w:r>
        <w:rPr>
          <w:b/>
          <w:bCs/>
        </w:rPr>
        <w:t xml:space="preserve">$354K average</w:t>
      </w:r>
      <w:r>
        <w:t xml:space="preserve">, top-firm packages reaching $500K–$650K+</w:t>
      </w:r>
    </w:p>
    <w:p>
      <w:pPr>
        <w:pStyle w:val="Compact"/>
        <w:numPr>
          <w:ilvl w:val="0"/>
          <w:numId w:val="1005"/>
        </w:numPr>
      </w:pPr>
      <w:r>
        <w:t xml:space="preserve">MBB consulting (Principal/Expert level):</w:t>
      </w:r>
      <w:r>
        <w:t xml:space="preserve"> </w:t>
      </w:r>
      <w:r>
        <w:rPr>
          <w:b/>
          <w:bCs/>
        </w:rPr>
        <w:t xml:space="preserve">$425K–$600K+</w:t>
      </w:r>
      <w:r>
        <w:t xml:space="preserve"> </w:t>
      </w:r>
      <w:r>
        <w:t xml:space="preserve">total compensation</w:t>
      </w:r>
    </w:p>
    <w:p>
      <w:pPr>
        <w:pStyle w:val="Compact"/>
        <w:numPr>
          <w:ilvl w:val="0"/>
          <w:numId w:val="1005"/>
        </w:numPr>
      </w:pPr>
      <w:r>
        <w:t xml:space="preserve">Fractional CIO/CDO:</w:t>
      </w:r>
      <w:r>
        <w:t xml:space="preserve"> </w:t>
      </w:r>
      <w:r>
        <w:rPr>
          <w:b/>
          <w:bCs/>
        </w:rPr>
        <w:t xml:space="preserve">$10K–$20K/month per client</w:t>
      </w:r>
      <w:r>
        <w:t xml:space="preserve">, yielding $240K+ annually at 2–3 clients</w:t>
      </w:r>
    </w:p>
    <w:bookmarkEnd w:id="26"/>
    <w:bookmarkStart w:id="27" w:name="portfolio-career"/>
    <w:p>
      <w:pPr>
        <w:pStyle w:val="Heading3"/>
      </w:pPr>
      <w:r>
        <w:t xml:space="preserve">Portfolio Career</w:t>
      </w:r>
    </w:p>
    <w:p>
      <w:pPr>
        <w:pStyle w:val="FirstParagraph"/>
      </w:pPr>
      <w:r>
        <w:t xml:space="preserve">The highest-income and highest-optionality model combines streams: a professor of practice anchor ($100K–$160K) supplemented by consulting ($50K–$150K+), 2–3 advisory board seats ($20K–$80K), executive education ($20K–$60K), and speaking engagements ($20K–$75K). Total:</w:t>
      </w:r>
      <w:r>
        <w:t xml:space="preserve"> </w:t>
      </w:r>
      <w:r>
        <w:rPr>
          <w:b/>
          <w:bCs/>
        </w:rPr>
        <w:t xml:space="preserve">$300K–$500K+ annually</w:t>
      </w:r>
      <w:r>
        <w:t xml:space="preserve">.</w:t>
      </w:r>
    </w:p>
    <w:p>
      <w:r>
        <w:pict>
          <v:rect style="width:0;height:1.5pt" o:hralign="center" o:hrstd="t" o:hr="t"/>
        </w:pict>
      </w:r>
    </w:p>
    <w:bookmarkEnd w:id="27"/>
    <w:bookmarkEnd w:id="28"/>
    <w:bookmarkStart w:id="33" w:name="florida-market-outlook"/>
    <w:p>
      <w:pPr>
        <w:pStyle w:val="Heading2"/>
      </w:pPr>
      <w:r>
        <w:t xml:space="preserve">Florida Market Outlook</w:t>
      </w:r>
    </w:p>
    <w:p>
      <w:pPr>
        <w:pStyle w:val="FirstParagraph"/>
      </w:pPr>
      <w:r>
        <w:t xml:space="preserve">South Florida has undergone a structural transformation from a hospitality-and-finance market into a legitimate, diversified technology hub — and it offers particular advantages for pracademics in IT, digital transformation, and hospitality technology.</w:t>
      </w:r>
    </w:p>
    <w:bookmarkStart w:id="29" w:name="the-miami-tech-ecosystem"/>
    <w:p>
      <w:pPr>
        <w:pStyle w:val="Heading3"/>
      </w:pPr>
      <w:r>
        <w:t xml:space="preserve">The Miami Tech Ecosystem</w:t>
      </w:r>
    </w:p>
    <w:p>
      <w:pPr>
        <w:pStyle w:val="Compact"/>
        <w:numPr>
          <w:ilvl w:val="0"/>
          <w:numId w:val="1006"/>
        </w:numPr>
      </w:pPr>
      <w:r>
        <w:t xml:space="preserve">Tech ecosystem valuation:</w:t>
      </w:r>
      <w:r>
        <w:t xml:space="preserve"> </w:t>
      </w:r>
      <w:r>
        <w:rPr>
          <w:b/>
          <w:bCs/>
        </w:rPr>
        <w:t xml:space="preserve">$95 billion</w:t>
      </w:r>
      <w:r>
        <w:t xml:space="preserve"> </w:t>
      </w:r>
      <w:r>
        <w:t xml:space="preserve">(ranked 16th globally)</w:t>
      </w:r>
    </w:p>
    <w:p>
      <w:pPr>
        <w:pStyle w:val="Compact"/>
        <w:numPr>
          <w:ilvl w:val="0"/>
          <w:numId w:val="1006"/>
        </w:numPr>
      </w:pPr>
      <w:r>
        <w:t xml:space="preserve">Tech job growth since pre-pandemic:</w:t>
      </w:r>
      <w:r>
        <w:t xml:space="preserve"> </w:t>
      </w:r>
      <w:r>
        <w:rPr>
          <w:b/>
          <w:bCs/>
        </w:rPr>
        <w:t xml:space="preserve">+22%</w:t>
      </w:r>
      <w:r>
        <w:t xml:space="preserve">, outpacing the national average</w:t>
      </w:r>
    </w:p>
    <w:p>
      <w:pPr>
        <w:pStyle w:val="Compact"/>
        <w:numPr>
          <w:ilvl w:val="0"/>
          <w:numId w:val="1006"/>
        </w:numPr>
      </w:pPr>
      <w:r>
        <w:t xml:space="preserve">Venture capital attracted in 2024:</w:t>
      </w:r>
      <w:r>
        <w:t xml:space="preserve"> </w:t>
      </w:r>
      <w:r>
        <w:rPr>
          <w:b/>
          <w:bCs/>
        </w:rPr>
        <w:t xml:space="preserve">$4.6 billion</w:t>
      </w:r>
      <w:r>
        <w:t xml:space="preserve"> </w:t>
      </w:r>
      <w:r>
        <w:t xml:space="preserve">(35% year-over-year increase), now ranked</w:t>
      </w:r>
      <w:r>
        <w:t xml:space="preserve"> </w:t>
      </w:r>
      <w:r>
        <w:rPr>
          <w:b/>
          <w:bCs/>
        </w:rPr>
        <w:t xml:space="preserve">5th nationally for VC deals</w:t>
      </w:r>
    </w:p>
    <w:p>
      <w:pPr>
        <w:pStyle w:val="Compact"/>
        <w:numPr>
          <w:ilvl w:val="0"/>
          <w:numId w:val="1006"/>
        </w:numPr>
      </w:pPr>
      <w:r>
        <w:t xml:space="preserve">Key sectors: fintech, crypto/blockchain, AI, healthtech, and defense tech — all aligned with IT operations and digital transformation expertise</w:t>
      </w:r>
    </w:p>
    <w:bookmarkEnd w:id="29"/>
    <w:bookmarkStart w:id="30" w:name="the-university-landscape"/>
    <w:p>
      <w:pPr>
        <w:pStyle w:val="Heading3"/>
      </w:pPr>
      <w:r>
        <w:t xml:space="preserve">The University Landscape</w:t>
      </w:r>
    </w:p>
    <w:p>
      <w:pPr>
        <w:pStyle w:val="FirstParagraph"/>
      </w:pPr>
      <w:r>
        <w:t xml:space="preserve">Florida’s public R1 university system offers multiple pracademic entry points, with a critical near-term advantage:</w:t>
      </w:r>
    </w:p>
    <w:p>
      <w:pPr>
        <w:pStyle w:val="BodyText"/>
      </w:pPr>
      <w:r>
        <w:rPr>
          <w:b/>
          <w:bCs/>
        </w:rPr>
        <w:t xml:space="preserve">Florida’s Board of Governors voted in March 2026 to pause all new H-1B visa hiring</w:t>
      </w:r>
      <w:r>
        <w:t xml:space="preserve"> </w:t>
      </w:r>
      <w:r>
        <w:t xml:space="preserve">at the state’s 12 public universities through at least January 2027. This creates near-term faculty hiring gaps that U.S. citizen candidates with PhDs can uniquely fill, particularly at FIU, UCF, and USF where international faculty representation has historically been high in IS/IT departments.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University</w:t>
            </w:r>
          </w:p>
        </w:tc>
        <w:tc>
          <w:tcPr/>
          <w:p>
            <w:pPr>
              <w:pStyle w:val="Compact"/>
            </w:pPr>
            <w:r>
              <w:t xml:space="preserve">Type</w:t>
            </w:r>
          </w:p>
        </w:tc>
        <w:tc>
          <w:tcPr/>
          <w:p>
            <w:pPr>
              <w:pStyle w:val="Compact"/>
            </w:pPr>
            <w:r>
              <w:t xml:space="preserve">Relevant Dept.</w:t>
            </w:r>
          </w:p>
        </w:tc>
        <w:tc>
          <w:tcPr/>
          <w:p>
            <w:pPr>
              <w:pStyle w:val="Compact"/>
            </w:pPr>
            <w:r>
              <w:t xml:space="preserve">Avg. Full Prof.</w:t>
            </w:r>
          </w:p>
        </w:tc>
        <w:tc>
          <w:tcPr/>
          <w:p>
            <w:pPr>
              <w:pStyle w:val="Compact"/>
            </w:pPr>
            <w:r>
              <w:t xml:space="preserve">Opportunity</w:t>
            </w:r>
          </w:p>
        </w:tc>
      </w:tr>
      <w:tr>
        <w:tc>
          <w:tcPr/>
          <w:p>
            <w:pPr>
              <w:pStyle w:val="Compact"/>
            </w:pPr>
            <w:r>
              <w:t xml:space="preserve">FAU</w:t>
            </w:r>
          </w:p>
        </w:tc>
        <w:tc>
          <w:tcPr/>
          <w:p>
            <w:pPr>
              <w:pStyle w:val="Compact"/>
            </w:pPr>
            <w:r>
              <w:t xml:space="preserve">Public R1</w:t>
            </w:r>
          </w:p>
        </w:tc>
        <w:tc>
          <w:tcPr/>
          <w:p>
            <w:pPr>
              <w:pStyle w:val="Compact"/>
            </w:pPr>
            <w:r>
              <w:t xml:space="preserve">College of Business</w:t>
            </w:r>
          </w:p>
        </w:tc>
        <w:tc>
          <w:tcPr/>
          <w:p>
            <w:pPr>
              <w:pStyle w:val="Compact"/>
            </w:pPr>
            <w:r>
              <w:t xml:space="preserve">~$130K</w:t>
            </w:r>
          </w:p>
        </w:tc>
        <w:tc>
          <w:tcPr/>
          <w:p>
            <w:pPr>
              <w:pStyle w:val="Compact"/>
            </w:pPr>
            <w:r>
              <w:t xml:space="preserve">Internal pathway</w:t>
            </w:r>
          </w:p>
        </w:tc>
      </w:tr>
      <w:tr>
        <w:tc>
          <w:tcPr/>
          <w:p>
            <w:pPr>
              <w:pStyle w:val="Compact"/>
            </w:pPr>
            <w:r>
              <w:t xml:space="preserve">FIU</w:t>
            </w:r>
          </w:p>
        </w:tc>
        <w:tc>
          <w:tcPr/>
          <w:p>
            <w:pPr>
              <w:pStyle w:val="Compact"/>
            </w:pPr>
            <w:r>
              <w:t xml:space="preserve">Public R1</w:t>
            </w:r>
          </w:p>
        </w:tc>
        <w:tc>
          <w:tcPr/>
          <w:p>
            <w:pPr>
              <w:pStyle w:val="Compact"/>
            </w:pPr>
            <w:r>
              <w:t xml:space="preserve">IS &amp; Bus. Analytics</w:t>
            </w:r>
          </w:p>
        </w:tc>
        <w:tc>
          <w:tcPr/>
          <w:p>
            <w:pPr>
              <w:pStyle w:val="Compact"/>
            </w:pPr>
            <w:r>
              <w:t xml:space="preserve">$143K</w:t>
            </w:r>
          </w:p>
        </w:tc>
        <w:tc>
          <w:tcPr/>
          <w:p>
            <w:pPr>
              <w:pStyle w:val="Compact"/>
            </w:pPr>
            <w:r>
              <w:t xml:space="preserve">Active NTT postings</w:t>
            </w:r>
          </w:p>
        </w:tc>
      </w:tr>
      <w:tr>
        <w:tc>
          <w:tcPr/>
          <w:p>
            <w:pPr>
              <w:pStyle w:val="Compact"/>
            </w:pPr>
            <w:r>
              <w:t xml:space="preserve">University of Miami</w:t>
            </w:r>
          </w:p>
        </w:tc>
        <w:tc>
          <w:tcPr/>
          <w:p>
            <w:pPr>
              <w:pStyle w:val="Compact"/>
            </w:pPr>
            <w:r>
              <w:t xml:space="preserve">Private R1</w:t>
            </w:r>
          </w:p>
        </w:tc>
        <w:tc>
          <w:tcPr/>
          <w:p>
            <w:pPr>
              <w:pStyle w:val="Compact"/>
            </w:pPr>
            <w:r>
              <w:t xml:space="preserve">Herbert Business</w:t>
            </w:r>
          </w:p>
        </w:tc>
        <w:tc>
          <w:tcPr/>
          <w:p>
            <w:pPr>
              <w:pStyle w:val="Compact"/>
            </w:pPr>
            <w:r>
              <w:t xml:space="preserve">$160K+</w:t>
            </w:r>
          </w:p>
        </w:tc>
        <w:tc>
          <w:tcPr/>
          <w:p>
            <w:pPr>
              <w:pStyle w:val="Compact"/>
            </w:pPr>
            <w:r>
              <w:t xml:space="preserve">Higher comp tier</w:t>
            </w:r>
          </w:p>
        </w:tc>
      </w:tr>
      <w:tr>
        <w:tc>
          <w:tcPr/>
          <w:p>
            <w:pPr>
              <w:pStyle w:val="Compact"/>
            </w:pPr>
            <w:r>
              <w:t xml:space="preserve">Nova Southeastern</w:t>
            </w:r>
          </w:p>
        </w:tc>
        <w:tc>
          <w:tcPr/>
          <w:p>
            <w:pPr>
              <w:pStyle w:val="Compact"/>
            </w:pPr>
            <w:r>
              <w:t xml:space="preserve">Private R1</w:t>
            </w:r>
          </w:p>
        </w:tc>
        <w:tc>
          <w:tcPr/>
          <w:p>
            <w:pPr>
              <w:pStyle w:val="Compact"/>
            </w:pPr>
            <w:r>
              <w:t xml:space="preserve">Huizenga College</w:t>
            </w:r>
          </w:p>
        </w:tc>
        <w:tc>
          <w:tcPr/>
          <w:p>
            <w:pPr>
              <w:pStyle w:val="Compact"/>
            </w:pPr>
            <w:r>
              <w:t xml:space="preserve">$120K+</w:t>
            </w:r>
          </w:p>
        </w:tc>
        <w:tc>
          <w:tcPr/>
          <w:p>
            <w:pPr>
              <w:pStyle w:val="Compact"/>
            </w:pPr>
            <w:r>
              <w:t xml:space="preserve">Practice-oriented</w:t>
            </w:r>
          </w:p>
        </w:tc>
      </w:tr>
      <w:tr>
        <w:tc>
          <w:tcPr/>
          <w:p>
            <w:pPr>
              <w:pStyle w:val="Compact"/>
            </w:pPr>
            <w:r>
              <w:t xml:space="preserve">UCF (Orlando)</w:t>
            </w:r>
          </w:p>
        </w:tc>
        <w:tc>
          <w:tcPr/>
          <w:p>
            <w:pPr>
              <w:pStyle w:val="Compact"/>
            </w:pPr>
            <w:r>
              <w:t xml:space="preserve">Public R1</w:t>
            </w:r>
          </w:p>
        </w:tc>
        <w:tc>
          <w:tcPr/>
          <w:p>
            <w:pPr>
              <w:pStyle w:val="Compact"/>
            </w:pPr>
            <w:r>
              <w:t xml:space="preserve">Rosen College Hosp.</w:t>
            </w:r>
          </w:p>
        </w:tc>
        <w:tc>
          <w:tcPr/>
          <w:p>
            <w:pPr>
              <w:pStyle w:val="Compact"/>
            </w:pPr>
            <w:r>
              <w:t xml:space="preserve">$130K</w:t>
            </w:r>
          </w:p>
        </w:tc>
        <w:tc>
          <w:tcPr/>
          <w:p>
            <w:pPr>
              <w:pStyle w:val="Compact"/>
            </w:pPr>
            <w:r>
              <w:t xml:space="preserve">Hospitality tech niche</w:t>
            </w:r>
          </w:p>
        </w:tc>
      </w:tr>
    </w:tbl>
    <w:bookmarkEnd w:id="30"/>
    <w:bookmarkStart w:id="31" w:name="the-hospitality-technology-corridor"/>
    <w:p>
      <w:pPr>
        <w:pStyle w:val="Heading3"/>
      </w:pPr>
      <w:r>
        <w:t xml:space="preserve">The Hospitality Technology Corridor</w:t>
      </w:r>
    </w:p>
    <w:p>
      <w:pPr>
        <w:pStyle w:val="FirstParagraph"/>
      </w:pPr>
      <w:r>
        <w:t xml:space="preserve">The</w:t>
      </w:r>
      <w:r>
        <w:t xml:space="preserve"> </w:t>
      </w:r>
      <w:r>
        <w:rPr>
          <w:b/>
          <w:bCs/>
        </w:rPr>
        <w:t xml:space="preserve">Orlando–Miami corridor</w:t>
      </w:r>
      <w:r>
        <w:t xml:space="preserve"> </w:t>
      </w:r>
      <w:r>
        <w:t xml:space="preserve">is the global epicenter of hospitality technology:</w:t>
      </w:r>
      <w:r>
        <w:t xml:space="preserve"> </w:t>
      </w:r>
      <w:r>
        <w:t xml:space="preserve">- Oracle Hospitality has</w:t>
      </w:r>
      <w:r>
        <w:t xml:space="preserve"> </w:t>
      </w:r>
      <w:r>
        <w:rPr>
          <w:b/>
          <w:bCs/>
        </w:rPr>
        <w:t xml:space="preserve">35+ positions</w:t>
      </w:r>
      <w:r>
        <w:t xml:space="preserve"> </w:t>
      </w:r>
      <w:r>
        <w:t xml:space="preserve">listed in Orlando</w:t>
      </w:r>
      <w:r>
        <w:t xml:space="preserve"> </w:t>
      </w:r>
      <w:r>
        <w:t xml:space="preserve">- Royal Caribbean, Carnival, and Norwegian cruise line headquarters are in Miami</w:t>
      </w:r>
      <w:r>
        <w:t xml:space="preserve"> </w:t>
      </w:r>
      <w:r>
        <w:t xml:space="preserve">- Major hotel chains maintain regional offices throughout South Florida</w:t>
      </w:r>
      <w:r>
        <w:t xml:space="preserve"> </w:t>
      </w:r>
      <w:r>
        <w:t xml:space="preserve">- Big 4 firms (Deloitte, Accenture, PwC, KPMG, EY) all maintain Miami offices with Oracle and hospitality technology practice groups</w:t>
      </w:r>
    </w:p>
    <w:bookmarkEnd w:id="31"/>
    <w:bookmarkStart w:id="32" w:name="X0fc15ccd9d7d2f59c9f86ebad911ab3f129d85a"/>
    <w:p>
      <w:pPr>
        <w:pStyle w:val="Heading3"/>
      </w:pPr>
      <w:r>
        <w:t xml:space="preserve">South Florida Compensation Benchmarks (Selected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Base</w:t>
            </w:r>
          </w:p>
        </w:tc>
        <w:tc>
          <w:tcPr/>
          <w:p>
            <w:pPr>
              <w:pStyle w:val="Compact"/>
            </w:pPr>
            <w:r>
              <w:t xml:space="preserve">Total Comp</w:t>
            </w:r>
          </w:p>
        </w:tc>
      </w:tr>
      <w:tr>
        <w:tc>
          <w:tcPr/>
          <w:p>
            <w:pPr>
              <w:pStyle w:val="Compact"/>
            </w:pPr>
            <w:r>
              <w:t xml:space="preserve">Prof. of Practice, Public R1</w:t>
            </w:r>
          </w:p>
        </w:tc>
        <w:tc>
          <w:tcPr/>
          <w:p>
            <w:pPr>
              <w:pStyle w:val="Compact"/>
            </w:pPr>
            <w:r>
              <w:t xml:space="preserve">$120K–$175K</w:t>
            </w:r>
          </w:p>
        </w:tc>
        <w:tc>
          <w:tcPr/>
          <w:p>
            <w:pPr>
              <w:pStyle w:val="Compact"/>
            </w:pPr>
            <w:r>
              <w:t xml:space="preserve">$140K–$200K</w:t>
            </w:r>
          </w:p>
        </w:tc>
      </w:tr>
      <w:tr>
        <w:tc>
          <w:tcPr/>
          <w:p>
            <w:pPr>
              <w:pStyle w:val="Compact"/>
            </w:pPr>
            <w:r>
              <w:t xml:space="preserve">Prof. of Practice, Private R1</w:t>
            </w:r>
          </w:p>
        </w:tc>
        <w:tc>
          <w:tcPr/>
          <w:p>
            <w:pPr>
              <w:pStyle w:val="Compact"/>
            </w:pPr>
            <w:r>
              <w:t xml:space="preserve">$145K–$220K</w:t>
            </w:r>
          </w:p>
        </w:tc>
        <w:tc>
          <w:tcPr/>
          <w:p>
            <w:pPr>
              <w:pStyle w:val="Compact"/>
            </w:pPr>
            <w:r>
              <w:t xml:space="preserve">$170K–$260K</w:t>
            </w:r>
          </w:p>
        </w:tc>
      </w:tr>
      <w:tr>
        <w:tc>
          <w:tcPr/>
          <w:p>
            <w:pPr>
              <w:pStyle w:val="Compact"/>
            </w:pPr>
            <w:r>
              <w:t xml:space="preserve">VP Digital Transformation</w:t>
            </w:r>
          </w:p>
        </w:tc>
        <w:tc>
          <w:tcPr/>
          <w:p>
            <w:pPr>
              <w:pStyle w:val="Compact"/>
            </w:pPr>
            <w:r>
              <w:t xml:space="preserve">$170K–$250K</w:t>
            </w:r>
          </w:p>
        </w:tc>
        <w:tc>
          <w:tcPr/>
          <w:p>
            <w:pPr>
              <w:pStyle w:val="Compact"/>
            </w:pPr>
            <w:r>
              <w:t xml:space="preserve">$220K–$350K</w:t>
            </w:r>
          </w:p>
        </w:tc>
      </w:tr>
      <w:tr>
        <w:tc>
          <w:tcPr/>
          <w:p>
            <w:pPr>
              <w:pStyle w:val="Compact"/>
            </w:pPr>
            <w:r>
              <w:t xml:space="preserve">Fractional CIO/CDO</w:t>
            </w:r>
          </w:p>
        </w:tc>
        <w:tc>
          <w:tcPr/>
          <w:p>
            <w:pPr>
              <w:pStyle w:val="Compact"/>
            </w:pPr>
            <w:r>
              <w:t xml:space="preserve">$10K–$20K/mo</w:t>
            </w:r>
          </w:p>
        </w:tc>
        <w:tc>
          <w:tcPr/>
          <w:p>
            <w:pPr>
              <w:pStyle w:val="Compact"/>
            </w:pPr>
            <w:r>
              <w:t xml:space="preserve">$120K–$240K/client</w:t>
            </w:r>
          </w:p>
        </w:tc>
      </w:tr>
      <w:tr>
        <w:tc>
          <w:tcPr/>
          <w:p>
            <w:pPr>
              <w:pStyle w:val="Compact"/>
            </w:pPr>
            <w:r>
              <w:t xml:space="preserve">Advisory Board Seat</w:t>
            </w:r>
          </w:p>
        </w:tc>
        <w:tc>
          <w:tcPr/>
          <w:p>
            <w:pPr>
              <w:pStyle w:val="Compact"/>
            </w:pPr>
            <w:r>
              <w:t xml:space="preserve">$5K–$20K/yr</w:t>
            </w:r>
          </w:p>
        </w:tc>
        <w:tc>
          <w:tcPr/>
          <w:p>
            <w:pPr>
              <w:pStyle w:val="Compact"/>
            </w:pPr>
            <w:r>
              <w:t xml:space="preserve">Variable</w:t>
            </w:r>
          </w:p>
        </w:tc>
      </w:tr>
    </w:tbl>
    <w:p>
      <w:r>
        <w:pict>
          <v:rect style="width:0;height:1.5pt" o:hralign="center" o:hrstd="t" o:hr="t"/>
        </w:pict>
      </w:r>
    </w:p>
    <w:bookmarkEnd w:id="32"/>
    <w:bookmarkEnd w:id="33"/>
    <w:bookmarkStart w:id="37" w:name="Xb6d5ee813c21f91f45ce4bdf905a6134da66f87"/>
    <w:p>
      <w:pPr>
        <w:pStyle w:val="Heading2"/>
      </w:pPr>
      <w:r>
        <w:t xml:space="preserve">Competitive Positioning: Where Pracademics Win and Lose</w:t>
      </w:r>
    </w:p>
    <w:p>
      <w:pPr>
        <w:pStyle w:val="FirstParagraph"/>
      </w:pPr>
      <w:r>
        <w:t xml:space="preserve">Understanding where the pracademic model has genuine advantages — and where it faces structural disadvantages — is critical for positioning and compensation negotiation.</w:t>
      </w:r>
    </w:p>
    <w:bookmarkStart w:id="34" w:name="structural-advantages"/>
    <w:p>
      <w:pPr>
        <w:pStyle w:val="Heading3"/>
      </w:pPr>
      <w:r>
        <w:t xml:space="preserve">Structural Advantages</w:t>
      </w:r>
    </w:p>
    <w:p>
      <w:pPr>
        <w:pStyle w:val="FirstParagraph"/>
      </w:pPr>
      <w:r>
        <w:rPr>
          <w:b/>
          <w:bCs/>
        </w:rPr>
        <w:t xml:space="preserve">In academic hiring</w:t>
      </w:r>
      <w:r>
        <w:t xml:space="preserve">: The pracademic’s primary advantage is AACSB compliance value combined with classroom relevance. Schools cannot hire enough industry-experienced PhDs to fill PA/SP faculty lines while also maintaining their SA ratios. A recent PhD (SA status) who also brings 20+ years of industry experience is the rarest available combination — typically classified SA while delivering PA-level classroom content.</w:t>
      </w:r>
    </w:p>
    <w:p>
      <w:pPr>
        <w:pStyle w:val="BodyText"/>
      </w:pPr>
      <w:r>
        <w:rPr>
          <w:b/>
          <w:bCs/>
        </w:rPr>
        <w:t xml:space="preserve">In consulting</w:t>
      </w:r>
      <w:r>
        <w:t xml:space="preserve">: The doctoral credential signals analytical rigor, peer-reviewed validation, and subject-matter-expert positioning that MBA consultants cannot credibly claim. Research shows doctoral-level consultants command 2–3× the hourly rates of non-doctoral peers in advisory and expert-network contexts. The PhD is not merely a credential — it is a pricing mechanism.</w:t>
      </w:r>
    </w:p>
    <w:p>
      <w:pPr>
        <w:pStyle w:val="BodyText"/>
      </w:pPr>
      <w:r>
        <w:rPr>
          <w:b/>
          <w:bCs/>
        </w:rPr>
        <w:t xml:space="preserve">In thought leadership</w:t>
      </w:r>
      <w:r>
        <w:t xml:space="preserve">: Bridge journal publication (HBR, MIT Sloan, Cornell Hospitality Quarterly) is substantially more accessible to pracademics than to pure academics or pure practitioners. Pracademics can credibly submit to academic journals</w:t>
      </w:r>
      <w:r>
        <w:t xml:space="preserve"> </w:t>
      </w:r>
      <w:r>
        <w:rPr>
          <w:i/>
          <w:iCs/>
        </w:rPr>
        <w:t xml:space="preserve">and</w:t>
      </w:r>
      <w:r>
        <w:t xml:space="preserve"> </w:t>
      </w:r>
      <w:r>
        <w:t xml:space="preserve">to practitioner outlets — a reach that pure academics (lacking operational credibility) and pure practitioners (lacking research methodology) cannot match.</w:t>
      </w:r>
    </w:p>
    <w:p>
      <w:pPr>
        <w:pStyle w:val="BodyText"/>
      </w:pPr>
      <w:r>
        <w:rPr>
          <w:b/>
          <w:bCs/>
        </w:rPr>
        <w:t xml:space="preserve">In network positioning</w:t>
      </w:r>
      <w:r>
        <w:t xml:space="preserve">: The pracademic’s dual identity — active practitioner</w:t>
      </w:r>
      <w:r>
        <w:t xml:space="preserve"> </w:t>
      </w:r>
      <w:r>
        <w:rPr>
          <w:i/>
          <w:iCs/>
        </w:rPr>
        <w:t xml:space="preserve">and</w:t>
      </w:r>
      <w:r>
        <w:t xml:space="preserve"> </w:t>
      </w:r>
      <w:r>
        <w:t xml:space="preserve">university faculty member — creates access to two distinct professional networks that rarely overlap. This generates asymmetric information advantages: the pracademic knows what both sides are thinking, pricing, and seeking.</w:t>
      </w:r>
    </w:p>
    <w:bookmarkEnd w:id="34"/>
    <w:bookmarkStart w:id="35" w:name="structural-disadvantages"/>
    <w:p>
      <w:pPr>
        <w:pStyle w:val="Heading3"/>
      </w:pPr>
      <w:r>
        <w:t xml:space="preserve">Structural Disadvantages</w:t>
      </w:r>
    </w:p>
    <w:p>
      <w:pPr>
        <w:pStyle w:val="FirstParagraph"/>
      </w:pPr>
      <w:r>
        <w:rPr>
          <w:b/>
          <w:bCs/>
        </w:rPr>
        <w:t xml:space="preserve">In tenure-track hiring</w:t>
      </w:r>
      <w:r>
        <w:t xml:space="preserve">: Traditional PhD hiring committees at research-intensive universities typically favor candidates with stronger publication records in top-tier academic journals. The pracademic’s practical experience, while valuable for accreditation, does not substitute for a robust research pipeline in these contexts. This is not a gap — it is a different target market. The professor of practice and clinical professor tracks are the right academic targets, not tenure-track positions.</w:t>
      </w:r>
    </w:p>
    <w:p>
      <w:pPr>
        <w:pStyle w:val="BodyText"/>
      </w:pPr>
      <w:r>
        <w:rPr>
          <w:b/>
          <w:bCs/>
        </w:rPr>
        <w:t xml:space="preserve">In senior industry executive roles</w:t>
      </w:r>
      <w:r>
        <w:t xml:space="preserve">: Pure operators — candidates who have spent 100% of their career in industry without the academic detour — may have deeper hands-on technical experience in specific platforms or larger teams managed. The pracademic’s advantage is strategic and analytical; the disadvantage is that some hiring committees at large enterprises may prefer depth over breadth for pure operational leadership roles.</w:t>
      </w:r>
    </w:p>
    <w:p>
      <w:pPr>
        <w:pStyle w:val="BodyText"/>
      </w:pPr>
      <w:r>
        <w:rPr>
          <w:b/>
          <w:bCs/>
        </w:rPr>
        <w:t xml:space="preserve">In pure research contexts</w:t>
      </w:r>
      <w:r>
        <w:t xml:space="preserve">: Academic research centers and think tanks (RAND, Brookings, research-only positions) typically require longer publication records and citation histories than a recent PhD graduate possesses, regardless of industry experience.</w:t>
      </w:r>
    </w:p>
    <w:bookmarkEnd w:id="35"/>
    <w:bookmarkStart w:id="36" w:name="the-optimal-market-positioning"/>
    <w:p>
      <w:pPr>
        <w:pStyle w:val="Heading3"/>
      </w:pPr>
      <w:r>
        <w:t xml:space="preserve">The Optimal Market Positioning</w:t>
      </w:r>
    </w:p>
    <w:p>
      <w:pPr>
        <w:pStyle w:val="FirstParagraph"/>
      </w:pPr>
      <w:r>
        <w:t xml:space="preserve">The pracademic’s competitive advantages converge at one specific market intersection:</w:t>
      </w:r>
      <w:r>
        <w:t xml:space="preserve"> </w:t>
      </w:r>
      <w:r>
        <w:rPr>
          <w:b/>
          <w:bCs/>
        </w:rPr>
        <w:t xml:space="preserve">teaching-focused faculty roles at AACSB-accredited business schools, combined with consulting and advisory work in the same industry domain as the practitioner experience</w:t>
      </w:r>
      <w:r>
        <w:t xml:space="preserve">. This is the position that maximizes:</w:t>
      </w:r>
      <w:r>
        <w:t xml:space="preserve"> </w:t>
      </w:r>
      <w:r>
        <w:t xml:space="preserve">- Compensation (academic base + consulting supplement)</w:t>
      </w:r>
      <w:r>
        <w:t xml:space="preserve"> </w:t>
      </w:r>
      <w:r>
        <w:t xml:space="preserve">- Differentiation (vs. both pure academics and pure practitioners)</w:t>
      </w:r>
      <w:r>
        <w:t xml:space="preserve"> </w:t>
      </w:r>
      <w:r>
        <w:t xml:space="preserve">- Sustainability (AACSB SA status + consulting credibility reinforce each other)</w:t>
      </w:r>
      <w:r>
        <w:t xml:space="preserve"> </w:t>
      </w:r>
      <w:r>
        <w:t xml:space="preserve">- Optionality (academic job security + consulting upside + industry re-entry option preserved)</w:t>
      </w:r>
    </w:p>
    <w:p>
      <w:r>
        <w:pict>
          <v:rect style="width:0;height:1.5pt" o:hralign="center" o:hrstd="t" o:hr="t"/>
        </w:pict>
      </w:r>
    </w:p>
    <w:bookmarkEnd w:id="36"/>
    <w:bookmarkEnd w:id="37"/>
    <w:bookmarkStart w:id="38" w:name="X0280c0c98f12baa2fc16fa42e90ab601119e6c0"/>
    <w:p>
      <w:pPr>
        <w:pStyle w:val="Heading2"/>
      </w:pPr>
      <w:r>
        <w:t xml:space="preserve">How This Market Maps to the Profile of a Recent IT Operations PhD</w:t>
      </w:r>
    </w:p>
    <w:p>
      <w:pPr>
        <w:pStyle w:val="FirstParagraph"/>
      </w:pPr>
      <w:r>
        <w:t xml:space="preserve">For a professional combining a 2024 PhD in Business Administration, 25+ years of Oracle Hospitality global operations leadership, and active R1 adjunct teaching in Fort Lauderdale, the 2026 market presents a specific set of favorable conditions:</w:t>
      </w:r>
    </w:p>
    <w:p>
      <w:pPr>
        <w:pStyle w:val="BodyText"/>
      </w:pPr>
      <w:r>
        <w:rPr>
          <w:b/>
          <w:bCs/>
        </w:rPr>
        <w:t xml:space="preserve">The SA status window is maximally open.</w:t>
      </w:r>
      <w:r>
        <w:t xml:space="preserve"> </w:t>
      </w:r>
      <w:r>
        <w:t xml:space="preserve">A 2024 PhD provides AACSB Scholarly Academic classification through approximately 2029. Business schools hiring in 2026 will value a candidate who can be classified SA</w:t>
      </w:r>
      <w:r>
        <w:t xml:space="preserve"> </w:t>
      </w:r>
      <w:r>
        <w:rPr>
          <w:i/>
          <w:iCs/>
        </w:rPr>
        <w:t xml:space="preserve">and</w:t>
      </w:r>
      <w:r>
        <w:t xml:space="preserve"> </w:t>
      </w:r>
      <w:r>
        <w:t xml:space="preserve">brings industry experience that most SA faculty lack. This five-year window will not be this favorable again for this profile — the longer the delay in pursuing a full-time academic appointment, the shorter the remaining SA window.</w:t>
      </w:r>
    </w:p>
    <w:p>
      <w:pPr>
        <w:pStyle w:val="BodyText"/>
      </w:pPr>
      <w:r>
        <w:rPr>
          <w:b/>
          <w:bCs/>
        </w:rPr>
        <w:t xml:space="preserve">The Florida H-1B freeze creates near-term academic openings.</w:t>
      </w:r>
      <w:r>
        <w:t xml:space="preserve"> </w:t>
      </w:r>
      <w:r>
        <w:t xml:space="preserve">Florida’s March 2026 Board of Governors decision to pause H-1B visa hiring at 12 public universities through at least January 2027 directly benefits U.S. citizen candidates with PhDs at FIU, UCF, USF, and other state universities where IS/IT departments have historically had significant international faculty representation. This window is narrow and time-sensitive.</w:t>
      </w:r>
    </w:p>
    <w:p>
      <w:pPr>
        <w:pStyle w:val="BodyText"/>
      </w:pPr>
      <w:r>
        <w:rPr>
          <w:b/>
          <w:bCs/>
        </w:rPr>
        <w:t xml:space="preserve">The cruise line IT expertise is at peak consulting value while still at Oracle.</w:t>
      </w:r>
      <w:r>
        <w:t xml:space="preserve"> </w:t>
      </w:r>
      <w:r>
        <w:t xml:space="preserve">The operational knowledge of Oracle Hospitality SPMS is most current and most marketable now, during active employment. Expert network calls (GLG, Guidepoint) can be monetized immediately — $300–$800/hour for calls on cruise IT operations, with zero conflict with Oracle’s interests. This is the fastest path to first consulting revenue.</w:t>
      </w:r>
    </w:p>
    <w:p>
      <w:pPr>
        <w:pStyle w:val="BodyText"/>
      </w:pPr>
      <w:r>
        <w:rPr>
          <w:b/>
          <w:bCs/>
        </w:rPr>
        <w:t xml:space="preserve">The AI leadership demand creates a new credential opportunity.</w:t>
      </w:r>
      <w:r>
        <w:t xml:space="preserve"> </w:t>
      </w:r>
      <w:r>
        <w:t xml:space="preserve">With 26% of organizations now having a Chief AI Officer and 40% of CAIOs holding PhDs, the combination of doctoral credentials, IoT/AI bootcamp training, and enterprise IT leadership positions this profile for CAIO advisory, executive education, and consulting roles that didn’t exist at scale three years ago.</w:t>
      </w:r>
    </w:p>
    <w:p>
      <w:pPr>
        <w:pStyle w:val="BodyText"/>
      </w:pPr>
      <w:r>
        <w:rPr>
          <w:b/>
          <w:bCs/>
        </w:rPr>
        <w:t xml:space="preserve">The portfolio model is more achievable from South Florida than at any previous time.</w:t>
      </w:r>
      <w:r>
        <w:t xml:space="preserve"> </w:t>
      </w:r>
      <w:r>
        <w:t xml:space="preserve">Miami’s tech ecosystem ($95B valuation, 5th nationally for VC), the Orlando–Miami hospitality technology corridor, Big 4 firm presence, and multiple R1 universities within commuting distance make South Florida a viable permanent base for a portfolio career that previously would have required relocation to New York, DC, or Boston.</w:t>
      </w:r>
    </w:p>
    <w:p>
      <w:r>
        <w:pict>
          <v:rect style="width:0;height:1.5pt" o:hralign="center" o:hrstd="t" o:hr="t"/>
        </w:pict>
      </w:r>
    </w:p>
    <w:bookmarkEnd w:id="38"/>
    <w:bookmarkStart w:id="40" w:name="strategic-implications"/>
    <w:p>
      <w:pPr>
        <w:pStyle w:val="Heading2"/>
      </w:pPr>
      <w:r>
        <w:t xml:space="preserve">Strategic Implications</w:t>
      </w:r>
    </w:p>
    <w:p>
      <w:pPr>
        <w:pStyle w:val="FirstParagraph"/>
      </w:pPr>
      <w:r>
        <w:t xml:space="preserve">The pracademic model in 2026 is not a niche or alternative career path — it is an institutionally recognized, structurally demanded, and increasingly well-compensated professional identity. The convergence of AACSB accreditation reform, AI leadership demand, and digital transformation talent shortages has created a market where the intersection of deep industry experience and doctoral credentials is genuinely scarce and highly valued.</w:t>
      </w:r>
    </w:p>
    <w:p>
      <w:pPr>
        <w:pStyle w:val="BodyText"/>
      </w:pPr>
      <w:r>
        <w:t xml:space="preserve">For professionals positioned at this intersection — particularly those with hospitality technology, enterprise IT operations, and doctoral credentials — the window of maximum market value is open now and likely to remain open through 2029–2030, when the current cohort of recent PhDs with industry experience begins to cycle through SA status windows and the supply side catches up to demand.</w:t>
      </w:r>
    </w:p>
    <w:p>
      <w:r>
        <w:pict>
          <v:rect style="width:0;height:1.5pt" o:hralign="center" o:hrstd="t" o:hr="t"/>
        </w:pict>
      </w:r>
    </w:p>
    <w:p>
      <w:pPr>
        <w:pStyle w:val="FirstParagraph"/>
      </w:pPr>
      <w:r>
        <w:rPr>
          <w:i/>
          <w:iCs/>
        </w:rPr>
        <w:t xml:space="preserve">Next:</w:t>
      </w:r>
      <w:r>
        <w:rPr>
          <w:i/>
          <w:iCs/>
        </w:rPr>
        <w:t xml:space="preserve"> </w:t>
      </w:r>
      <w:hyperlink r:id="rId39">
        <w:r>
          <w:rPr>
            <w:rStyle w:val="Hyperlink"/>
            <w:i/>
            <w:iCs/>
          </w:rPr>
          <w:t xml:space="preserve">Career Opportunities for René Bordés →</w:t>
        </w:r>
      </w:hyperlink>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career-opportunities.md" TargetMode="External" /></Relationships>
</file>

<file path=word/_rels/footnotes.xml.rels><?xml version="1.0" encoding="UTF-8"?><Relationships xmlns="http://schemas.openxmlformats.org/package/2006/relationships"><Relationship Type="http://schemas.openxmlformats.org/officeDocument/2006/relationships/hyperlink" Id="rId39" Target="career-opportuniti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2026-03-19T20:54:45Z</dcterms:created>
  <dcterms:modified xsi:type="dcterms:W3CDTF">2026-03-19T20:54:45Z</dcterms:modified>
</cp:coreProperties>
</file>

<file path=docProps/custom.xml><?xml version="1.0" encoding="utf-8"?>
<Properties xmlns="http://schemas.openxmlformats.org/officeDocument/2006/custom-properties" xmlns:vt="http://schemas.openxmlformats.org/officeDocument/2006/docPropsVTypes"/>
</file>