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Handling Missing Data for Downstream Tasks</w:t>
      </w:r>
    </w:p>
    <w:p>
      <w:pPr>
        <w:pStyle w:val="Author"/>
      </w:pPr>
      <w:r>
        <w:t xml:space="preserve">Rahul Bordoloi</w:t>
      </w:r>
    </w:p>
    <w:p>
      <w:pPr>
        <w:pStyle w:val="Date"/>
      </w:pPr>
      <w:r>
        <w:t xml:space="preserve">2026-04-10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cknowledgements"/>
    <w:p>
      <w:pPr>
        <w:pStyle w:val="Heading1"/>
      </w:pPr>
      <w:r>
        <w:t xml:space="preserve">Acknowledgements</w:t>
      </w:r>
    </w:p>
    <w:p>
      <w:pPr>
        <w:pStyle w:val="FirstParagraph"/>
      </w:pPr>
      <w:r>
        <w:t xml:space="preserve">These are the acknowledgements.</w:t>
      </w:r>
    </w:p>
    <w:bookmarkEnd w:id="20"/>
    <w:bookmarkStart w:id="21" w:name="abstract"/>
    <w:p>
      <w:pPr>
        <w:pStyle w:val="Heading1"/>
      </w:pPr>
      <w:r>
        <w:t xml:space="preserve">Abstract</w:t>
      </w:r>
    </w:p>
    <w:p>
      <w:pPr>
        <w:pStyle w:val="FirstParagraph"/>
      </w:pPr>
      <w:r>
        <w:t xml:space="preserve">This the abstract in English.</w:t>
      </w:r>
    </w:p>
    <w:bookmarkEnd w:id="21"/>
    <w:bookmarkStart w:id="22" w:name="zusammenfassung"/>
    <w:p>
      <w:pPr>
        <w:pStyle w:val="Heading1"/>
      </w:pPr>
      <w:r>
        <w:t xml:space="preserve">Zusammenfassung</w:t>
      </w:r>
    </w:p>
    <w:p>
      <w:pPr>
        <w:pStyle w:val="FirstParagraph"/>
      </w:pPr>
      <w:r>
        <w:t xml:space="preserve">Diese ist die Zusammenfassung auf Deutsch.</w:t>
      </w:r>
    </w:p>
    <w:bookmarkEnd w:id="22"/>
    <w:bookmarkStart w:id="23" w:name="theses"/>
    <w:p>
      <w:pPr>
        <w:pStyle w:val="Heading1"/>
      </w:pPr>
      <w:r>
        <w:t xml:space="preserve">Theses</w:t>
      </w:r>
    </w:p>
    <w:p>
      <w:pPr>
        <w:pStyle w:val="FirstParagraph"/>
      </w:pPr>
      <w:r>
        <w:t xml:space="preserve">These are the theses.</w:t>
      </w:r>
    </w:p>
    <w:bookmarkEnd w:id="23"/>
    <w:bookmarkStart w:id="31" w:name="list-of-acronyms"/>
    <w:p>
      <w:pPr>
        <w:pStyle w:val="Heading1"/>
      </w:pPr>
      <w:r>
        <w:t xml:space="preserve">List of Acronyms</w:t>
      </w:r>
    </w:p>
    <w:p>
      <w:pPr>
        <w:pStyle w:val="DefinitionTerm"/>
      </w:pPr>
      <w:bookmarkStart w:id="24" w:name="acronyms_F3I"/>
      <w:r>
        <w:t xml:space="preserve">F3I</w:t>
      </w:r>
      <w:bookmarkEnd w:id="24"/>
    </w:p>
    <w:p>
      <w:pPr>
        <w:pStyle w:val="Definition"/>
      </w:pPr>
      <w:r>
        <w:t xml:space="preserve">Fast Iterative Improvement for Imputation</w:t>
      </w:r>
    </w:p>
    <w:p>
      <w:pPr>
        <w:pStyle w:val="DefinitionTerm"/>
      </w:pPr>
      <w:bookmarkStart w:id="25" w:name="acronyms_FUSE"/>
      <w:r>
        <w:t xml:space="preserve">FUSE</w:t>
      </w:r>
      <w:bookmarkEnd w:id="25"/>
    </w:p>
    <w:p>
      <w:pPr>
        <w:pStyle w:val="Definition"/>
      </w:pPr>
      <w:r>
        <w:t xml:space="preserve">Fast Semi-Supervised Node Embedding via Structural and Label-Aware Optimization</w:t>
      </w:r>
    </w:p>
    <w:p>
      <w:pPr>
        <w:pStyle w:val="DefinitionTerm"/>
      </w:pPr>
      <w:bookmarkStart w:id="26" w:name="acronyms_MAR"/>
      <w:r>
        <w:t xml:space="preserve">MAR</w:t>
      </w:r>
      <w:bookmarkEnd w:id="26"/>
    </w:p>
    <w:p>
      <w:pPr>
        <w:pStyle w:val="Definition"/>
      </w:pPr>
      <w:r>
        <w:t xml:space="preserve">Missing At Random</w:t>
      </w:r>
    </w:p>
    <w:p>
      <w:pPr>
        <w:pStyle w:val="DefinitionTerm"/>
      </w:pPr>
      <w:bookmarkStart w:id="27" w:name="acronyms_MCAR"/>
      <w:r>
        <w:t xml:space="preserve">MCAR</w:t>
      </w:r>
      <w:bookmarkEnd w:id="27"/>
    </w:p>
    <w:p>
      <w:pPr>
        <w:pStyle w:val="Definition"/>
      </w:pPr>
      <w:r>
        <w:t xml:space="preserve">Missing Completely at Random</w:t>
      </w:r>
    </w:p>
    <w:p>
      <w:pPr>
        <w:pStyle w:val="DefinitionTerm"/>
      </w:pPr>
      <w:bookmarkStart w:id="28" w:name="acronyms_MNAR"/>
      <w:r>
        <w:t xml:space="preserve">MNAR</w:t>
      </w:r>
      <w:bookmarkEnd w:id="28"/>
    </w:p>
    <w:p>
      <w:pPr>
        <w:pStyle w:val="Definition"/>
      </w:pPr>
      <w:r>
        <w:t xml:space="preserve">Missing Not at Random</w:t>
      </w:r>
    </w:p>
    <w:p>
      <w:pPr>
        <w:pStyle w:val="DefinitionTerm"/>
      </w:pPr>
      <w:bookmarkStart w:id="29" w:name="acronyms_MUDRA"/>
      <w:r>
        <w:t xml:space="preserve">MUDRA</w:t>
      </w:r>
      <w:bookmarkEnd w:id="29"/>
    </w:p>
    <w:p>
      <w:pPr>
        <w:pStyle w:val="Definition"/>
      </w:pPr>
      <w:r>
        <w:t xml:space="preserve">Multivariate Functional Linear Discriminant Analysis</w:t>
      </w:r>
    </w:p>
    <w:p>
      <w:pPr>
        <w:pStyle w:val="DefinitionTerm"/>
      </w:pPr>
      <w:bookmarkStart w:id="30" w:name="acronyms_kNN"/>
      <w:r>
        <w:t xml:space="preserve">kNN</w:t>
      </w:r>
      <w:bookmarkEnd w:id="30"/>
    </w:p>
    <w:p>
      <w:pPr>
        <w:pStyle w:val="Definition"/>
      </w:pPr>
      <w:r>
        <w:t xml:space="preserve">K-Nearest Neighbours</w:t>
      </w:r>
    </w:p>
    <w:bookmarkEnd w:id="31"/>
    <w:bookmarkStart w:id="34" w:name="summary-and-outline-of-thesis"/>
    <w:p>
      <w:pPr>
        <w:pStyle w:val="Heading1"/>
      </w:pPr>
      <w:r>
        <w:t xml:space="preserve">Summary and Outline of Thesis</w:t>
      </w:r>
    </w:p>
    <w:bookmarkStart w:id="32" w:name="summary"/>
    <w:p>
      <w:pPr>
        <w:pStyle w:val="Heading2"/>
      </w:pPr>
      <w:r>
        <w:t xml:space="preserve">Summary</w:t>
      </w:r>
    </w:p>
    <w:bookmarkEnd w:id="32"/>
    <w:bookmarkStart w:id="33" w:name="outline"/>
    <w:p>
      <w:pPr>
        <w:pStyle w:val="Heading2"/>
      </w:pPr>
      <w:r>
        <w:t xml:space="preserve">Outline</w:t>
      </w:r>
    </w:p>
    <w:p>
      <w:pPr>
        <w:pStyle w:val="Compact"/>
        <w:numPr>
          <w:ilvl w:val="0"/>
          <w:numId w:val="1001"/>
        </w:numPr>
      </w:pPr>
      <w:hyperlink w:anchor="sec-intro">
        <w:r>
          <w:rPr>
            <w:rStyle w:val="Hyperlink"/>
          </w:rPr>
          <w:t xml:space="preserve">Chapter 1</w:t>
        </w:r>
      </w:hyperlink>
    </w:p>
    <w:p>
      <w:pPr>
        <w:pStyle w:val="Compact"/>
        <w:numPr>
          <w:ilvl w:val="1"/>
          <w:numId w:val="1002"/>
        </w:numPr>
      </w:pPr>
      <w:r>
        <w:t xml:space="preserve">Notation used</w:t>
      </w:r>
    </w:p>
    <w:p>
      <w:pPr>
        <w:pStyle w:val="Compact"/>
        <w:numPr>
          <w:ilvl w:val="1"/>
          <w:numId w:val="1002"/>
        </w:numPr>
      </w:pPr>
      <w:r>
        <w:t xml:space="preserve">Sources of missingness: improper data collection, malfunctioning equipment, privacy issues</w:t>
      </w:r>
    </w:p>
    <w:p>
      <w:pPr>
        <w:pStyle w:val="Compact"/>
        <w:numPr>
          <w:ilvl w:val="1"/>
          <w:numId w:val="1002"/>
        </w:numPr>
      </w:pPr>
      <w:r>
        <w:t xml:space="preserve">Types of missingness:</w:t>
      </w:r>
      <w:r>
        <w:t xml:space="preserve"> </w:t>
      </w:r>
      <w:hyperlink w:anchor="acronyms_MCAR">
        <w:r>
          <w:rPr>
            <w:rStyle w:val="Hyperlink"/>
          </w:rPr>
          <w:t xml:space="preserve">Missing Completely at Random (MCAR)</w:t>
        </w:r>
      </w:hyperlink>
      <w:r>
        <w:t xml:space="preserve">,</w:t>
      </w:r>
      <w:r>
        <w:t xml:space="preserve"> </w:t>
      </w:r>
      <w:hyperlink w:anchor="acronyms_MAR">
        <w:r>
          <w:rPr>
            <w:rStyle w:val="Hyperlink"/>
          </w:rPr>
          <w:t xml:space="preserve">Missing At Random (MAR)</w:t>
        </w:r>
      </w:hyperlink>
      <w:r>
        <w:t xml:space="preserve">,</w:t>
      </w:r>
      <w:r>
        <w:t xml:space="preserve"> </w:t>
      </w:r>
      <w:hyperlink w:anchor="acronyms_MNAR">
        <w:r>
          <w:rPr>
            <w:rStyle w:val="Hyperlink"/>
          </w:rPr>
          <w:t xml:space="preserve">Missing Not at Random (MNAR)</w:t>
        </w:r>
      </w:hyperlink>
    </w:p>
    <w:p>
      <w:pPr>
        <w:pStyle w:val="Compact"/>
        <w:numPr>
          <w:ilvl w:val="2"/>
          <w:numId w:val="1003"/>
        </w:numPr>
      </w:pPr>
      <w:r>
        <w:t xml:space="preserve">Models of these missigness mechanisms: Bernoulli, logistic, Gaussian self-masking, logistic self-masking</w:t>
      </w:r>
    </w:p>
    <w:p>
      <w:pPr>
        <w:pStyle w:val="Compact"/>
        <w:numPr>
          <w:ilvl w:val="1"/>
          <w:numId w:val="1002"/>
        </w:numPr>
      </w:pPr>
      <w:r>
        <w:t xml:space="preserve">Imputation: advantages &amp; disadvantages</w:t>
      </w:r>
    </w:p>
    <w:p>
      <w:pPr>
        <w:pStyle w:val="Compact"/>
        <w:numPr>
          <w:ilvl w:val="0"/>
          <w:numId w:val="1001"/>
        </w:numPr>
      </w:pPr>
      <w:hyperlink w:anchor="sec-background">
        <w:r>
          <w:rPr>
            <w:rStyle w:val="Hyperlink"/>
          </w:rPr>
          <w:t xml:space="preserve">Chapter 2</w:t>
        </w:r>
      </w:hyperlink>
    </w:p>
    <w:p>
      <w:pPr>
        <w:pStyle w:val="Compact"/>
        <w:numPr>
          <w:ilvl w:val="1"/>
          <w:numId w:val="1004"/>
        </w:numPr>
      </w:pPr>
      <w:r>
        <w:t xml:space="preserve">Constant imputation: constant value, measures of central tendency</w:t>
      </w:r>
    </w:p>
    <w:p>
      <w:pPr>
        <w:pStyle w:val="Compact"/>
        <w:numPr>
          <w:ilvl w:val="1"/>
          <w:numId w:val="1004"/>
        </w:numPr>
      </w:pPr>
      <w:r>
        <w:t xml:space="preserve">Multivariate Imputation: Amelia, mi, MICE, missForest</w:t>
      </w:r>
    </w:p>
    <w:p>
      <w:pPr>
        <w:pStyle w:val="Compact"/>
        <w:numPr>
          <w:ilvl w:val="1"/>
          <w:numId w:val="1004"/>
        </w:numPr>
      </w:pPr>
      <w:r>
        <w:t xml:space="preserve">Generative methods: GAN-based models, diffusion-based models, transformer-based models</w:t>
      </w:r>
    </w:p>
    <w:p>
      <w:pPr>
        <w:pStyle w:val="Compact"/>
        <w:numPr>
          <w:ilvl w:val="1"/>
          <w:numId w:val="1004"/>
        </w:numPr>
      </w:pPr>
      <w:r>
        <w:t xml:space="preserve">Bayesian methods: MIWAE, not-MIWAE.</w:t>
      </w:r>
    </w:p>
    <w:p>
      <w:pPr>
        <w:pStyle w:val="Compact"/>
        <w:numPr>
          <w:ilvl w:val="2"/>
          <w:numId w:val="1005"/>
        </w:numPr>
      </w:pPr>
      <w:r>
        <w:t xml:space="preserve">Designed to optimize for downstream tasks</w:t>
      </w:r>
    </w:p>
    <w:p>
      <w:pPr>
        <w:pStyle w:val="Compact"/>
        <w:numPr>
          <w:ilvl w:val="2"/>
          <w:numId w:val="1005"/>
        </w:numPr>
      </w:pPr>
      <w:r>
        <w:t xml:space="preserve">Aligns poorly with noisy ground truth missing values</w:t>
      </w:r>
    </w:p>
    <w:p>
      <w:pPr>
        <w:pStyle w:val="Compact"/>
        <w:numPr>
          <w:ilvl w:val="2"/>
          <w:numId w:val="1005"/>
        </w:numPr>
      </w:pPr>
      <w:r>
        <w:t xml:space="preserve">[1]</w:t>
      </w:r>
      <w:r>
        <w:t xml:space="preserve"> </w:t>
      </w:r>
      <w:r>
        <w:t xml:space="preserve">shows that higher quality imputation does not necessarily improve downstream task performance</w:t>
      </w:r>
    </w:p>
    <w:p>
      <w:pPr>
        <w:pStyle w:val="Compact"/>
        <w:numPr>
          <w:ilvl w:val="1"/>
          <w:numId w:val="1004"/>
        </w:numPr>
      </w:pPr>
      <w:r>
        <w:t xml:space="preserve">Nearest neighbour imputation: looking at closer observed values gives a better idea of the missing value</w:t>
      </w:r>
    </w:p>
    <w:p>
      <w:pPr>
        <w:pStyle w:val="Compact"/>
        <w:numPr>
          <w:ilvl w:val="1"/>
          <w:numId w:val="1004"/>
        </w:numPr>
      </w:pPr>
      <w:r>
        <w:t xml:space="preserve">Ensemble methods: HyperImpute</w:t>
      </w:r>
    </w:p>
    <w:p>
      <w:pPr>
        <w:pStyle w:val="Compact"/>
        <w:numPr>
          <w:ilvl w:val="1"/>
          <w:numId w:val="1004"/>
        </w:numPr>
      </w:pPr>
      <w:r>
        <w:t xml:space="preserve">Can nearest neighbour imputation be modified to optimize for downstream tasks like MIWAE, while maintaining alignment with the data?</w:t>
      </w:r>
    </w:p>
    <w:p>
      <w:pPr>
        <w:pStyle w:val="Compact"/>
        <w:numPr>
          <w:ilvl w:val="0"/>
          <w:numId w:val="1001"/>
        </w:numPr>
      </w:pPr>
      <w:hyperlink w:anchor="sec-knnTheory">
        <w:r>
          <w:rPr>
            <w:rStyle w:val="Hyperlink"/>
          </w:rPr>
          <w:t xml:space="preserve">Chapter 3</w:t>
        </w:r>
      </w:hyperlink>
    </w:p>
    <w:p>
      <w:pPr>
        <w:pStyle w:val="Compact"/>
        <w:numPr>
          <w:ilvl w:val="1"/>
          <w:numId w:val="1006"/>
        </w:numPr>
      </w:pPr>
      <w:r>
        <w:t xml:space="preserve">Reintroduce nearest neighbour imputation, and state objective to modify it for downstream task</w:t>
      </w:r>
    </w:p>
    <w:p>
      <w:pPr>
        <w:pStyle w:val="Compact"/>
        <w:numPr>
          <w:ilvl w:val="1"/>
          <w:numId w:val="1006"/>
        </w:numPr>
      </w:pPr>
      <w:r>
        <w:t xml:space="preserve">Argue why it is better than Bayesian methods in maintaing alignment with data, show high probability concentration bounds for imputed values.</w:t>
      </w:r>
    </w:p>
    <w:p>
      <w:pPr>
        <w:pStyle w:val="Compact"/>
        <w:numPr>
          <w:ilvl w:val="1"/>
          <w:numId w:val="1006"/>
        </w:numPr>
      </w:pPr>
      <w:r>
        <w:t xml:space="preserve">Introduce</w:t>
      </w:r>
      <w:r>
        <w:t xml:space="preserve"> </w:t>
      </w:r>
      <w:hyperlink w:anchor="acronyms_F3I">
        <w:r>
          <w:rPr>
            <w:rStyle w:val="Hyperlink"/>
          </w:rPr>
          <w:t xml:space="preserve">Fast Iterative Improvement for Imputation (F3I)</w:t>
        </w:r>
      </w:hyperlink>
      <w:r>
        <w:t xml:space="preserve"> </w:t>
      </w:r>
      <w:r>
        <w:t xml:space="preserve">and the novel objective function. Argue why a differentiable function makes it easier to modify and optimise for downstream task.</w:t>
      </w:r>
    </w:p>
    <w:p>
      <w:pPr>
        <w:pStyle w:val="Compact"/>
        <w:numPr>
          <w:ilvl w:val="1"/>
          <w:numId w:val="1006"/>
        </w:numPr>
      </w:pPr>
      <w:r>
        <w:t xml:space="preserve">Present PCGrad</w:t>
      </w:r>
      <w:hyperlink w:anchor="acronyms_F3I">
        <w:r>
          <w:rPr>
            <w:rStyle w:val="Hyperlink"/>
          </w:rPr>
          <w:t xml:space="preserve">F3I</w:t>
        </w:r>
      </w:hyperlink>
      <w:r>
        <w:t xml:space="preserve">.</w:t>
      </w:r>
    </w:p>
    <w:p>
      <w:pPr>
        <w:pStyle w:val="Compact"/>
        <w:numPr>
          <w:ilvl w:val="1"/>
          <w:numId w:val="1006"/>
        </w:numPr>
      </w:pPr>
      <w:r>
        <w:t xml:space="preserve">Conclusion: reiterate that better imputation does not necessarily mean better downstream task performance. Argue for the need of methods to perform downstream tasks without imputation.</w:t>
      </w:r>
    </w:p>
    <w:p>
      <w:pPr>
        <w:pStyle w:val="Compact"/>
        <w:numPr>
          <w:ilvl w:val="0"/>
          <w:numId w:val="1001"/>
        </w:numPr>
      </w:pPr>
      <w:hyperlink w:anchor="sec-mudra">
        <w:r>
          <w:rPr>
            <w:rStyle w:val="Hyperlink"/>
          </w:rPr>
          <w:t xml:space="preserve">Chapter 4</w:t>
        </w:r>
      </w:hyperlink>
    </w:p>
    <w:p>
      <w:pPr>
        <w:pStyle w:val="Compact"/>
        <w:numPr>
          <w:ilvl w:val="1"/>
          <w:numId w:val="1007"/>
        </w:numPr>
      </w:pPr>
      <w:r>
        <w:t xml:space="preserve">Restate problem with imputation according to</w:t>
      </w:r>
      <w:r>
        <w:t xml:space="preserve"> </w:t>
      </w:r>
      <w:r>
        <w:t xml:space="preserve">[1]</w:t>
      </w:r>
    </w:p>
    <w:p>
      <w:pPr>
        <w:pStyle w:val="Compact"/>
        <w:numPr>
          <w:ilvl w:val="1"/>
          <w:numId w:val="1007"/>
        </w:numPr>
      </w:pPr>
      <w:r>
        <w:t xml:space="preserve">Introduce the multivariate time-series classification problem.</w:t>
      </w:r>
    </w:p>
    <w:p>
      <w:pPr>
        <w:pStyle w:val="Compact"/>
        <w:numPr>
          <w:ilvl w:val="1"/>
          <w:numId w:val="1007"/>
        </w:numPr>
      </w:pPr>
      <w:r>
        <w:t xml:space="preserve">Present</w:t>
      </w:r>
      <w:r>
        <w:t xml:space="preserve"> </w:t>
      </w:r>
      <w:hyperlink w:anchor="acronyms_MUDRA">
        <w:r>
          <w:rPr>
            <w:rStyle w:val="Hyperlink"/>
          </w:rPr>
          <w:t xml:space="preserve">Multivariate Functional Linear Discriminant Analysis (MUDRA)</w:t>
        </w:r>
      </w:hyperlink>
      <w:r>
        <w:t xml:space="preserve"> </w:t>
      </w:r>
      <w:r>
        <w:t xml:space="preserve">[2]</w:t>
      </w:r>
      <w:r>
        <w:t xml:space="preserve"> </w:t>
      </w:r>
      <w:r>
        <w:t xml:space="preserve">to perform dimension reduction and classification without imputation.</w:t>
      </w:r>
    </w:p>
    <w:p>
      <w:pPr>
        <w:pStyle w:val="Compact"/>
        <w:numPr>
          <w:ilvl w:val="1"/>
          <w:numId w:val="1007"/>
        </w:numPr>
      </w:pPr>
      <w:r>
        <w:t xml:space="preserve">Show how classification performance is improved over LOCF imputation</w:t>
      </w:r>
    </w:p>
    <w:p>
      <w:pPr>
        <w:pStyle w:val="Compact"/>
        <w:numPr>
          <w:ilvl w:val="1"/>
          <w:numId w:val="1007"/>
        </w:numPr>
      </w:pPr>
      <w:r>
        <w:t xml:space="preserve">Show how imputed values closely align with ground truth</w:t>
      </w:r>
    </w:p>
    <w:p>
      <w:pPr>
        <w:pStyle w:val="Compact"/>
        <w:numPr>
          <w:ilvl w:val="1"/>
          <w:numId w:val="1007"/>
        </w:numPr>
      </w:pPr>
      <w:r>
        <w:t xml:space="preserve">Conclusion: We talked about missing values on tables, and missing values on multivariate time series. Now we introduce missing values on graph clustering, a more complicated data structure.</w:t>
      </w:r>
    </w:p>
    <w:p>
      <w:pPr>
        <w:pStyle w:val="Compact"/>
        <w:numPr>
          <w:ilvl w:val="0"/>
          <w:numId w:val="1001"/>
        </w:numPr>
      </w:pPr>
      <w:hyperlink w:anchor="sec-fuse">
        <w:r>
          <w:rPr>
            <w:rStyle w:val="Hyperlink"/>
          </w:rPr>
          <w:t xml:space="preserve">Chapter 5</w:t>
        </w:r>
      </w:hyperlink>
    </w:p>
    <w:p>
      <w:pPr>
        <w:pStyle w:val="Compact"/>
        <w:numPr>
          <w:ilvl w:val="1"/>
          <w:numId w:val="1008"/>
        </w:numPr>
      </w:pPr>
      <w:r>
        <w:t xml:space="preserve">State the semi-supervised learning problem on graphclustering: learning when labels are missing, which means modularity cannot be directly calculated</w:t>
      </w:r>
    </w:p>
    <w:p>
      <w:pPr>
        <w:pStyle w:val="Compact"/>
        <w:numPr>
          <w:ilvl w:val="1"/>
          <w:numId w:val="1008"/>
        </w:numPr>
      </w:pPr>
      <w:r>
        <w:t xml:space="preserve">Show how to use the graph structure to generate representations even with missing modularity, by imputing labels so as to increase the modularity of the remaing graph</w:t>
      </w:r>
    </w:p>
    <w:p>
      <w:pPr>
        <w:pStyle w:val="Compact"/>
        <w:numPr>
          <w:ilvl w:val="1"/>
          <w:numId w:val="1008"/>
        </w:numPr>
      </w:pPr>
      <w:r>
        <w:t xml:space="preserve">Show how the labels can then be reconstructed time-efficiently.</w:t>
      </w:r>
    </w:p>
    <w:p>
      <w:pPr>
        <w:pStyle w:val="Compact"/>
        <w:numPr>
          <w:ilvl w:val="0"/>
          <w:numId w:val="1001"/>
        </w:numPr>
      </w:pPr>
      <w:hyperlink w:anchor="sec-conclusion">
        <w:r>
          <w:rPr>
            <w:rStyle w:val="Hyperlink"/>
          </w:rPr>
          <w:t xml:space="preserve">Chapter 6</w:t>
        </w:r>
      </w:hyperlink>
    </w:p>
    <w:p>
      <w:pPr>
        <w:pStyle w:val="Compact"/>
        <w:numPr>
          <w:ilvl w:val="1"/>
          <w:numId w:val="1009"/>
        </w:numPr>
      </w:pPr>
      <w:r>
        <w:t xml:space="preserve">Conclude that missing values are best dealt with without imputation</w:t>
      </w:r>
    </w:p>
    <w:p>
      <w:pPr>
        <w:pStyle w:val="Compact"/>
        <w:numPr>
          <w:ilvl w:val="1"/>
          <w:numId w:val="1009"/>
        </w:numPr>
      </w:pPr>
      <w:r>
        <w:t xml:space="preserve">The more complicated the underlying data structure, the more information to be gleaned to bypass imputation.</w:t>
      </w:r>
    </w:p>
    <w:p>
      <w:pPr>
        <w:pStyle w:val="Compact"/>
        <w:numPr>
          <w:ilvl w:val="1"/>
          <w:numId w:val="1009"/>
        </w:numPr>
      </w:pPr>
      <w:r>
        <w:t xml:space="preserve">MArginal gains in imputation are not worth it, instead imputation should be moderated by downstream task performance in order to get the best results.</w:t>
      </w:r>
    </w:p>
    <w:bookmarkEnd w:id="33"/>
    <w:bookmarkEnd w:id="34"/>
    <w:bookmarkStart w:id="41" w:name="sec-intro"/>
    <w:p>
      <w:pPr>
        <w:pStyle w:val="Heading1"/>
      </w:pPr>
      <w:r>
        <w:t xml:space="preserve">1. Challenges with Missing Data</w:t>
      </w:r>
    </w:p>
    <w:p>
      <w:pPr>
        <w:pStyle w:val="FirstParagraph"/>
      </w:pPr>
      <w:r>
        <w:t xml:space="preserve">In most statistical and machine learning literature, datasets are assumed to be complete, regular, and unfragmented. In short, most models assume complete data for processing. However, in the real domain, a lot of datasets are incomplete, irregular, and fragmented. This is particularly evident in the medical and biomedical domain, where collection of datasets are dependent on the availability of patients and the robustness of wet lab experiments, which are not always 100% reliable.</w:t>
      </w:r>
    </w:p>
    <w:p>
      <w:pPr>
        <w:pStyle w:val="BodyText"/>
      </w:pPr>
      <w:r>
        <w:t xml:space="preserve">In this chapter, I will introduce the different types of missingness that has been proposed in the literature, as well as propose a new classification of missingness based on a different perspective. I will also discuss how the semi-supervised setting can be viewed as a special case of missing data, and how it can be incorporated into the overall missingness framework.</w:t>
      </w:r>
    </w:p>
    <w:bookmarkStart w:id="35" w:name="notation"/>
    <w:p>
      <w:pPr>
        <w:pStyle w:val="Heading2"/>
      </w:pPr>
      <w:r>
        <w:t xml:space="preserve">1.1 Notation</w:t>
      </w:r>
    </w:p>
    <w:p>
      <w:pPr>
        <w:pStyle w:val="FirstParagraph"/>
      </w:pPr>
      <w:r>
        <w:t xml:space="preserve">Throughout this thesis, I will use the standardised notation encouraged by most machine learning conference. Italicized letters will indicate deterministic quatities. Normal small letters indicate numbers (</w:t>
      </w:r>
      <m:oMath>
        <m:r>
          <m:t>x</m:t>
        </m:r>
        <m:r>
          <m:rPr>
            <m:sty m:val="p"/>
          </m:rPr>
          <m:t>,</m:t>
        </m:r>
        <m:r>
          <m:t>y</m:t>
        </m:r>
        <m:r>
          <m:rPr>
            <m:sty m:val="p"/>
          </m:rPr>
          <m:t>,</m:t>
        </m:r>
        <m:r>
          <m:t>t</m:t>
        </m:r>
      </m:oMath>
      <w:r>
        <w:t xml:space="preserve">), bold small letters indicate vectors (</w:t>
      </w:r>
      <w:r>
        <w:t xml:space="preserve">$\vx,\vy,\vt$</w:t>
      </w:r>
      <w:r>
        <w:t xml:space="preserve">), bold capital letters indicate matrices (</w:t>
      </w:r>
      <w:r>
        <w:t xml:space="preserve">$\mX,\mY,\mT$</w:t>
      </w:r>
      <w:r>
        <w:t xml:space="preserve">), capital letters in sans-serif fonts indicate tensors</w:t>
      </w:r>
      <w:r>
        <w:t xml:space="preserve"> </w:t>
      </w:r>
      <w:r>
        <w:t xml:space="preserve">$(\tX,\tY,\tT)$</w:t>
      </w:r>
      <w:r>
        <w:t xml:space="preserve"> </w:t>
      </w:r>
      <w:r>
        <w:t xml:space="preserve">and blackboard bold capital letters indicate sets (</w:t>
      </w:r>
      <w:r>
        <w:t xml:space="preserve">$\sX,\sY,\sT$</w:t>
      </w:r>
      <w:r>
        <w:t xml:space="preserve">). The non-italicized versions of these indicate random quatities; random variables are</w:t>
      </w:r>
      <w:r>
        <w:t xml:space="preserve"> </w:t>
      </w:r>
      <w:r>
        <w:t xml:space="preserve">$\rx,\ry,\rt$</w:t>
      </w:r>
      <w:r>
        <w:t xml:space="preserve">, random vectors are</w:t>
      </w:r>
      <w:r>
        <w:t xml:space="preserve"> </w:t>
      </w:r>
      <w:r>
        <w:t xml:space="preserve">$\rvx,\rvy,\rvt$</w:t>
      </w:r>
      <w:r>
        <w:t xml:space="preserve"> </w:t>
      </w:r>
      <w:r>
        <w:t xml:space="preserve">and random matrices are</w:t>
      </w:r>
      <w:r>
        <w:t xml:space="preserve"> </w:t>
      </w:r>
      <w:r>
        <w:t xml:space="preserve">$\rmX,\rmY,\rmT$</w:t>
      </w:r>
      <w:r>
        <w:t xml:space="preserve">. Elements of higher order arrays like vectors, matrices, and higher order tensors are denoted by regular versions of the bold letters with subscripts:</w:t>
      </w:r>
      <w:r>
        <w:t xml:space="preserve"> </w:t>
      </w:r>
      <w:r>
        <w:t xml:space="preserve">$\evx_1,\emX_{11},\etX_{111},\ervx_1,\ermX_{11}$</w:t>
      </w:r>
      <w:r>
        <w:t xml:space="preserve">, etc. For a matrix</w:t>
      </w:r>
      <w:r>
        <w:t xml:space="preserve"> </w:t>
      </w:r>
      <w:r>
        <w:t xml:space="preserve">$\mX$</w:t>
      </w:r>
      <w:r>
        <w:t xml:space="preserve">,</w:t>
      </w:r>
      <w:r>
        <w:t xml:space="preserve"> </w:t>
      </w:r>
      <w:r>
        <w:t xml:space="preserve">$\mX_{i,:}$</w:t>
      </w:r>
      <w:r>
        <w:t xml:space="preserve"> </w:t>
      </w:r>
      <w:r>
        <w:t xml:space="preserve">and</w:t>
      </w:r>
      <w:r>
        <w:t xml:space="preserve"> </w:t>
      </w:r>
      <w:r>
        <w:t xml:space="preserve">$\mX_{:,i}$</w:t>
      </w:r>
      <w:r>
        <w:t xml:space="preserve"> </w:t>
      </w:r>
      <w:r>
        <w:t xml:space="preserve">will denote the</w:t>
      </w:r>
      <w:r>
        <w:t xml:space="preserve"> </w:t>
      </w:r>
      <m:oMath>
        <m:sSup>
          <m:e>
            <m:r>
              <m:t>i</m:t>
            </m:r>
          </m:e>
          <m:sup>
            <m:r>
              <m:t>t</m:t>
            </m:r>
            <m:r>
              <m:t>h</m:t>
            </m:r>
          </m:sup>
        </m:sSup>
      </m:oMath>
      <w:r>
        <w:t xml:space="preserve"> </w:t>
      </w:r>
      <w:r>
        <w:t xml:space="preserve">row and column respectively.</w:t>
      </w:r>
    </w:p>
    <w:p>
      <w:pPr>
        <w:pStyle w:val="BodyText"/>
      </w:pPr>
      <w:r>
        <w:t xml:space="preserve">I will denote the vectorization of a matrix</w:t>
      </w:r>
      <w:r>
        <w:t xml:space="preserve"> </w:t>
      </w:r>
      <w:r>
        <w:t xml:space="preserve">$\mX$</w:t>
      </w:r>
      <w:r>
        <w:t xml:space="preserve">, which means stacking the columns of the matrix sequentially, as</w:t>
      </w:r>
    </w:p>
    <w:p>
      <w:pPr>
        <w:pStyle w:val="BodyText"/>
      </w:pPr>
      <w:r>
        <w:t xml:space="preserve">$$\vec(\mX)=[\mX_{:,1}^\trans\quad\mX_{:,2}^\trans\quad\cdots\quad\mX_{:,n}^\trans]^\trans$$</w:t>
      </w:r>
    </w:p>
    <w:p>
      <w:pPr>
        <w:pStyle w:val="FirstParagraph"/>
      </w:pPr>
      <w:r>
        <w:t xml:space="preserve">The determinant of a matrix</w:t>
      </w:r>
      <w:r>
        <w:t xml:space="preserve"> </w:t>
      </w:r>
      <w:r>
        <w:t xml:space="preserve">$\mA$</w:t>
      </w:r>
      <w:r>
        <w:t xml:space="preserve"> </w:t>
      </w:r>
      <w:r>
        <w:t xml:space="preserve">will be denoted by</w:t>
      </w:r>
      <w:r>
        <w:t xml:space="preserve"> </w:t>
      </w:r>
      <w:r>
        <w:t xml:space="preserve">$|\mA|$</w:t>
      </w:r>
      <w:r>
        <w:t xml:space="preserve">, and Kronecker product of two matrices</w:t>
      </w:r>
      <w:r>
        <w:t xml:space="preserve"> </w:t>
      </w:r>
      <w:r>
        <w:t xml:space="preserve">$\mA_{m\times n}$</w:t>
      </w:r>
      <w:r>
        <w:t xml:space="preserve"> </w:t>
      </w:r>
      <w:r>
        <w:t xml:space="preserve">and</w:t>
      </w:r>
      <w:r>
        <w:t xml:space="preserve"> </w:t>
      </w:r>
      <w:r>
        <w:t xml:space="preserve">$\mB_{p\times q}$</w:t>
      </w:r>
      <w:r>
        <w:t xml:space="preserve"> </w:t>
      </w:r>
      <w:r>
        <w:t xml:space="preserve">is an</w:t>
      </w:r>
      <w:r>
        <w:t xml:space="preserve"> </w:t>
      </w:r>
      <m:oMath>
        <m:r>
          <m:t>m</m:t>
        </m:r>
        <m:r>
          <m:t>p</m:t>
        </m:r>
        <m:r>
          <m:rPr>
            <m:sty m:val="p"/>
          </m:rPr>
          <m:t>×</m:t>
        </m:r>
        <m:r>
          <m:t>n</m:t>
        </m:r>
        <m:r>
          <m:t>q</m:t>
        </m:r>
      </m:oMath>
      <w:r>
        <w:t xml:space="preserve"> </w:t>
      </w:r>
      <w:r>
        <w:t xml:space="preserve">matrix defined as</w:t>
      </w:r>
    </w:p>
    <w:p>
      <w:pPr>
        <w:pStyle w:val="BodyText"/>
      </w:pPr>
      <w:r>
        <w:t xml:space="preserve">$$
    \mA\kron\mB\deff\begin{bmatrix}
    \emA_{11}\mB &amp;\emA_{12}\mB&amp;\cdots\emA_{1n}\mB\\
    \emA_{21}\mB &amp;\emA_{22}\mB&amp;\cdots\emA_{2n}\mB\\
    \vdots&amp;\vdots&amp;\ddots&amp;\vdots\\
    \emA_{m1}\mB &amp;\emA_{m2}\mB&amp;\cdots\emA_{mn}\mB\\
    \end{bmatrix}
    $$</w:t>
      </w:r>
    </w:p>
    <w:p>
      <w:pPr>
        <w:pStyle w:val="FirstParagraph"/>
      </w:pPr>
      <w:r>
        <w:t xml:space="preserve">The generalized psedo-inverse</w:t>
      </w:r>
      <w:r>
        <w:t xml:space="preserve"> </w:t>
      </w:r>
      <w:r>
        <w:t xml:space="preserve">[3, p. 20]</w:t>
      </w:r>
      <w:r>
        <w:t xml:space="preserve"> </w:t>
      </w:r>
      <w:r>
        <w:t xml:space="preserve">of a matrix</w:t>
      </w:r>
      <w:r>
        <w:t xml:space="preserve"> </w:t>
      </w:r>
      <w:r>
        <w:t xml:space="preserve">$\mA$</w:t>
      </w:r>
      <w:r>
        <w:t xml:space="preserve"> </w:t>
      </w:r>
      <w:r>
        <w:t xml:space="preserve">will be denoted by</w:t>
      </w:r>
      <w:r>
        <w:t xml:space="preserve"> </w:t>
      </w:r>
      <w:r>
        <w:t xml:space="preserve">$\mA^-$</w:t>
      </w:r>
      <w:r>
        <w:t xml:space="preserve">, which simply indicates that</w:t>
      </w:r>
      <w:r>
        <w:t xml:space="preserve"> </w:t>
      </w:r>
      <w:r>
        <w:t xml:space="preserve">$\mA\mA^-\mA=\mA$</w:t>
      </w:r>
      <w:r>
        <w:t xml:space="preserve">. It should be clear that the choice of</w:t>
      </w:r>
      <w:r>
        <w:t xml:space="preserve"> </w:t>
      </w:r>
      <w:r>
        <w:t xml:space="preserve">$\mA^-$</w:t>
      </w:r>
      <w:r>
        <w:t xml:space="preserve"> </w:t>
      </w:r>
      <w:r>
        <w:t xml:space="preserve">is not unique for a singular matrix</w:t>
      </w:r>
      <w:r>
        <w:t xml:space="preserve"> </w:t>
      </w:r>
      <w:r>
        <w:t xml:space="preserve">$\mA$</w:t>
      </w:r>
      <w:r>
        <w:t xml:space="preserve">,</w:t>
      </w:r>
      <w:r>
        <w:t xml:space="preserve"> </w:t>
      </w:r>
      <w:r>
        <w:rPr>
          <w:i/>
          <w:iCs/>
        </w:rPr>
        <w:t xml:space="preserve">i.e.</w:t>
      </w:r>
      <w:r>
        <w:t xml:space="preserve"> </w:t>
      </w:r>
      <w:r>
        <w:t xml:space="preserve">if</w:t>
      </w:r>
      <w:r>
        <w:t xml:space="preserve"> </w:t>
      </w:r>
      <w:r>
        <w:t xml:space="preserve">$|\mA|=0$</w:t>
      </w:r>
      <w:r>
        <w:t xml:space="preserve">. In cases where a unique choice is necessary, I will use the Moore-Penrose pseudo-inverse</w:t>
      </w:r>
      <w:r>
        <w:t xml:space="preserve"> </w:t>
      </w:r>
      <w:r>
        <w:t xml:space="preserve">[4]</w:t>
      </w:r>
      <w:r>
        <w:t xml:space="preserve"> </w:t>
      </w:r>
      <w:r>
        <w:t xml:space="preserve">$\mA^+$</w:t>
      </w:r>
      <w:r>
        <w:t xml:space="preserve">, which is defined by the following properties:</w:t>
      </w:r>
    </w:p>
    <w:p>
      <w:pPr>
        <w:pStyle w:val="BodyText"/>
      </w:pPr>
      <w:r>
        <w:t xml:space="preserve">$$\mA\mA^+\mA=\mA\qquad\mA^+\mA\mA^+=\mA^+\qquad(\mA\mA^+)^*=\mA\mA^+\qquad(\mA^+\mA)^*=\mA^+\mA$$</w:t>
      </w:r>
    </w:p>
    <w:p>
      <w:pPr>
        <w:pStyle w:val="FirstParagraph"/>
      </w:pPr>
      <w:r>
        <w:t xml:space="preserve">I will denote the probability of an event</w:t>
      </w:r>
      <w:r>
        <w:t xml:space="preserve"> </w:t>
      </w:r>
      <m:oMath>
        <m:r>
          <m:t>E</m:t>
        </m:r>
      </m:oMath>
      <w:r>
        <w:t xml:space="preserve"> </w:t>
      </w:r>
      <w:r>
        <w:t xml:space="preserve">as</w:t>
      </w:r>
      <w:r>
        <w:t xml:space="preserve"> </w:t>
      </w:r>
      <w:r>
        <w:t xml:space="preserve">$\P(E)$</w:t>
      </w:r>
      <w:r>
        <w:t xml:space="preserve">, expectation of a random variable</w:t>
      </w:r>
      <w:r>
        <w:t xml:space="preserve"> </w:t>
      </w:r>
      <w:r>
        <w:t xml:space="preserve">$\rx$</w:t>
      </w:r>
      <w:r>
        <w:t xml:space="preserve"> </w:t>
      </w:r>
      <w:r>
        <w:t xml:space="preserve">as</w:t>
      </w:r>
      <w:r>
        <w:t xml:space="preserve"> </w:t>
      </w:r>
      <w:r>
        <w:t xml:space="preserve">$\E[\rx]$</w:t>
      </w:r>
      <w:r>
        <w:t xml:space="preserve">, its variance as</w:t>
      </w:r>
      <w:r>
        <w:t xml:space="preserve"> </w:t>
      </w:r>
      <w:r>
        <w:t xml:space="preserve">$\Var(\rx)$</w:t>
      </w:r>
      <w:r>
        <w:t xml:space="preserve">, and its covariance with another random variable</w:t>
      </w:r>
      <w:r>
        <w:t xml:space="preserve"> </w:t>
      </w:r>
      <w:r>
        <w:t xml:space="preserve">$\ry$</w:t>
      </w:r>
      <w:r>
        <w:t xml:space="preserve"> </w:t>
      </w:r>
      <w:r>
        <w:t xml:space="preserve">as</w:t>
      </w:r>
      <w:r>
        <w:t xml:space="preserve"> </w:t>
      </w:r>
      <w:r>
        <w:t xml:space="preserve">$\Cov(\rx,\ry)$</w:t>
      </w:r>
      <w:r>
        <w:t xml:space="preserve">. I will denote the variance-covariance matrix of a random vector</w:t>
      </w:r>
      <w:r>
        <w:t xml:space="preserve"> </w:t>
      </w:r>
      <w:r>
        <w:t xml:space="preserve">$\rvx$</w:t>
      </w:r>
      <w:r>
        <w:t xml:space="preserve"> </w:t>
      </w:r>
      <w:r>
        <w:t xml:space="preserve">as</w:t>
      </w:r>
      <w:r>
        <w:t xml:space="preserve"> </w:t>
      </w:r>
      <w:r>
        <w:t xml:space="preserve">$\Var(\rvx)$</w:t>
      </w:r>
      <w:r>
        <w:t xml:space="preserve">. For a matrix</w:t>
      </w:r>
      <w:r>
        <w:t xml:space="preserve"> </w:t>
      </w:r>
      <w:r>
        <w:t xml:space="preserve">$\mSigma$</w:t>
      </w:r>
      <w:r>
        <w:t xml:space="preserve">,</w:t>
      </w:r>
      <w:r>
        <w:t xml:space="preserve"> </w:t>
      </w:r>
      <w:r>
        <w:t xml:space="preserve">$\norm{\rvx}_\mSigma$</w:t>
      </w:r>
      <w:r>
        <w:t xml:space="preserve"> </w:t>
      </w:r>
      <w:r>
        <w:t xml:space="preserve">will denote the Mahalanobis norm</w:t>
      </w:r>
      <w:r>
        <w:t xml:space="preserve"> </w:t>
      </w:r>
      <w:r>
        <w:t xml:space="preserve">[5]</w:t>
      </w:r>
      <w:r>
        <w:t xml:space="preserve"> </w:t>
      </w:r>
      <w:r>
        <w:t xml:space="preserve">of</w:t>
      </w:r>
      <w:r>
        <w:t xml:space="preserve"> </w:t>
      </w:r>
      <w:r>
        <w:t xml:space="preserve">$\rvx$</w:t>
      </w:r>
      <w:r>
        <w:t xml:space="preserve"> </w:t>
      </w:r>
      <w:r>
        <w:t xml:space="preserve">with covariance</w:t>
      </w:r>
      <w:r>
        <w:t xml:space="preserve"> </w:t>
      </w:r>
      <w:r>
        <w:t xml:space="preserve">$\mSigma$</w:t>
      </w:r>
      <w:r>
        <w:t xml:space="preserve">, defined as</w:t>
      </w:r>
      <w:r>
        <w:t xml:space="preserve"> </w:t>
      </w:r>
      <w:r>
        <w:t xml:space="preserve">$\norm{\rvx}_\mSigma\deff\rvx^\trans\mSigma^-\rvx$</w:t>
      </w:r>
      <w:r>
        <w:t xml:space="preserve">.</w:t>
      </w:r>
    </w:p>
    <w:p>
      <w:pPr>
        <w:pStyle w:val="BodyText"/>
      </w:pPr>
      <w:r>
        <w:t xml:space="preserve">I will also denote the KL divergence of 2 distributions</w:t>
      </w:r>
      <w:r>
        <w:t xml:space="preserve"> </w:t>
      </w:r>
      <m:oMath>
        <m:r>
          <m:t>P</m:t>
        </m:r>
      </m:oMath>
      <w:r>
        <w:t xml:space="preserve"> </w:t>
      </w:r>
      <w:r>
        <w:t xml:space="preserve">and</w:t>
      </w:r>
      <w:r>
        <w:t xml:space="preserve"> </w:t>
      </w:r>
      <m:oMath>
        <m:r>
          <m:t>Q</m:t>
        </m:r>
      </m:oMath>
      <w:r>
        <w:t xml:space="preserve"> </w:t>
      </w:r>
      <w:r>
        <w:t xml:space="preserve">over the support</w:t>
      </w:r>
      <w:r>
        <w:t xml:space="preserve"> </w:t>
      </w:r>
      <w:r>
        <w:t xml:space="preserve">$\sX$</w:t>
      </w:r>
      <w:r>
        <w:t xml:space="preserve"> </w:t>
      </w:r>
      <w:r>
        <w:t xml:space="preserve">as</w:t>
      </w:r>
    </w:p>
    <w:p>
      <w:pPr>
        <w:pStyle w:val="BodyText"/>
      </w:pPr>
      <w:r>
        <w:t xml:space="preserve">$$\KL(P||Q)\deff\int_{x\in\sX}P(x)\log\frac{P(x)}{Q(x)}dx$$</w:t>
      </w:r>
    </w:p>
    <w:p>
      <w:pPr>
        <w:pStyle w:val="FirstParagraph"/>
      </w:pPr>
      <w:r>
        <w:t xml:space="preserve">The Cartesian product of two sets</w:t>
      </w:r>
      <w:r>
        <w:t xml:space="preserve"> </w:t>
      </w:r>
      <w:r>
        <w:t xml:space="preserve">$\sA$</w:t>
      </w:r>
      <w:r>
        <w:t xml:space="preserve"> </w:t>
      </w:r>
      <w:r>
        <w:t xml:space="preserve">and</w:t>
      </w:r>
      <w:r>
        <w:t xml:space="preserve"> </w:t>
      </w:r>
      <w:r>
        <w:t xml:space="preserve">$\sB$</w:t>
      </w:r>
      <w:r>
        <w:t xml:space="preserve"> </w:t>
      </w:r>
      <w:r>
        <w:t xml:space="preserve">will be denoted by</w:t>
      </w:r>
      <w:r>
        <w:t xml:space="preserve"> </w:t>
      </w:r>
      <w:r>
        <w:t xml:space="preserve">$\sA\times\sB$</w:t>
      </w:r>
      <w:r>
        <w:t xml:space="preserve">.</w:t>
      </w:r>
    </w:p>
    <w:bookmarkEnd w:id="35"/>
    <w:bookmarkStart w:id="36" w:name="problem-formulation"/>
    <w:p>
      <w:pPr>
        <w:pStyle w:val="Heading2"/>
      </w:pPr>
      <w:r>
        <w:t xml:space="preserve">1.2 Problem Formulation</w:t>
      </w:r>
    </w:p>
    <w:p>
      <w:pPr>
        <w:pStyle w:val="FirstParagraph"/>
      </w:pPr>
      <w:r>
        <w:t xml:space="preserve">I will adopt notation similar to</w:t>
      </w:r>
      <w:r>
        <w:t xml:space="preserve"> </w:t>
      </w:r>
      <w:r>
        <w:t xml:space="preserve">[6]</w:t>
      </w:r>
      <w:r>
        <w:t xml:space="preserve"> </w:t>
      </w:r>
      <w:r>
        <w:t xml:space="preserve">for the problem formulation and denote missing values as</w:t>
      </w:r>
      <w:r>
        <w:t xml:space="preserve"> </w:t>
      </w:r>
      <w:r>
        <w:rPr>
          <w:rStyle w:val="VerbatimChar"/>
        </w:rPr>
        <w:t xml:space="preserve">NaN</w:t>
      </w:r>
      <w:r>
        <w:t xml:space="preserve">. Let</w:t>
      </w:r>
      <w:r>
        <w:t xml:space="preserve"> </w:t>
      </w:r>
      <w:r>
        <w:t xml:space="preserve">$\rvx\in \sX=(\sX_1\times\ldots\sX_D)$</w:t>
      </w:r>
      <w:r>
        <w:t xml:space="preserve"> </w:t>
      </w:r>
      <w:r>
        <w:t xml:space="preserve">be a D-dimensional random vector. The entries of this random vector can be continuous (</w:t>
      </w:r>
      <w:r>
        <w:t xml:space="preserve">$\sX_d=\R$</w:t>
      </w:r>
      <w:r>
        <w:t xml:space="preserve">) or categorical (</w:t>
      </w:r>
      <w:r>
        <w:t xml:space="preserve">$\sX_d=\{1,\ldots,K_d\}$</w:t>
      </w:r>
      <w:r>
        <w:t xml:space="preserve">) random variables, for</w:t>
      </w:r>
      <w:r>
        <w:t xml:space="preserve"> </w:t>
      </w:r>
      <m:oMath>
        <m:r>
          <m:t>d</m:t>
        </m:r>
        <m:r>
          <m:rPr>
            <m:sty m:val="p"/>
          </m:rPr>
          <m:t>∈</m:t>
        </m:r>
        <m:r>
          <m:rPr>
            <m:sty m:val="p"/>
          </m:rPr>
          <m:t>{</m:t>
        </m:r>
        <m:r>
          <m:t>1</m:t>
        </m:r>
        <m:r>
          <m:rPr>
            <m:sty m:val="p"/>
          </m:rPr>
          <m:t>,</m:t>
        </m:r>
        <m:r>
          <m:rPr>
            <m:sty m:val="p"/>
          </m:rPr>
          <m:t>…</m:t>
        </m:r>
        <m:r>
          <m:rPr>
            <m:sty m:val="p"/>
          </m:rPr>
          <m:t>,</m:t>
        </m:r>
        <m:r>
          <m:t>D</m:t>
        </m:r>
        <m:r>
          <m:rPr>
            <m:sty m:val="p"/>
          </m:rPr>
          <m:t>}</m:t>
        </m:r>
      </m:oMath>
      <w:r>
        <w:t xml:space="preserve">. We do not have complete observational access to</w:t>
      </w:r>
      <w:r>
        <w:t xml:space="preserve"> </w:t>
      </w:r>
      <w:r>
        <w:t xml:space="preserve">$\rvx$</w:t>
      </w:r>
      <w:r>
        <w:t xml:space="preserve">; instead our observation is mediated by a random masking vector</w:t>
      </w:r>
      <w:r>
        <w:t xml:space="preserve"> </w:t>
      </w:r>
      <w:r>
        <w:t xml:space="preserve">$\rvm\in\{0,1\}^D$</w:t>
      </w:r>
      <w:r>
        <w:t xml:space="preserve">. If</w:t>
      </w:r>
      <w:r>
        <w:t xml:space="preserve"> </w:t>
      </w:r>
      <w:r>
        <w:t xml:space="preserve">$\ervm_d=1$</w:t>
      </w:r>
      <w:r>
        <w:t xml:space="preserve">, then</w:t>
      </w:r>
      <w:r>
        <w:t xml:space="preserve"> </w:t>
      </w:r>
      <w:r>
        <w:t xml:space="preserve">$\ervx_d$</w:t>
      </w:r>
      <w:r>
        <w:t xml:space="preserve"> </w:t>
      </w:r>
      <w:r>
        <w:t xml:space="preserve">is observed. Assume that</w:t>
      </w:r>
      <w:r>
        <w:t xml:space="preserve"> </w:t>
      </w:r>
      <w:r>
        <w:t xml:space="preserve">$\rvm$</w:t>
      </w:r>
      <w:r>
        <w:t xml:space="preserve"> </w:t>
      </w:r>
      <w:r>
        <w:t xml:space="preserve">follows a distribution</w:t>
      </w:r>
      <w:r>
        <w:t xml:space="preserve"> </w:t>
      </w:r>
      <w:r>
        <w:t xml:space="preserve">$\pmask$</w:t>
      </w:r>
      <w:r>
        <w:t xml:space="preserve">, and the data</w:t>
      </w:r>
      <w:r>
        <w:t xml:space="preserve"> </w:t>
      </w:r>
      <w:r>
        <w:t xml:space="preserve">$\rvx$</w:t>
      </w:r>
      <w:r>
        <w:t xml:space="preserve"> </w:t>
      </w:r>
      <w:r>
        <w:t xml:space="preserve">follows a distribution</w:t>
      </w:r>
      <w:r>
        <w:t xml:space="preserve"> </w:t>
      </w:r>
      <w:r>
        <w:t xml:space="preserve">$\pdata$</w:t>
      </w:r>
      <w:r>
        <w:t xml:space="preserve">.</w:t>
      </w:r>
    </w:p>
    <w:bookmarkEnd w:id="36"/>
    <w:bookmarkStart w:id="40" w:name="types-of-missingness"/>
    <w:p>
      <w:pPr>
        <w:pStyle w:val="Heading2"/>
      </w:pPr>
      <w:r>
        <w:t xml:space="preserve">1.3 Types of missingness</w:t>
      </w:r>
    </w:p>
    <w:p>
      <w:pPr>
        <w:pStyle w:val="FirstParagraph"/>
      </w:pPr>
      <w:r>
        <w:t xml:space="preserve">Classical literature mainly distinguishes three main missingness mechanisms depending on the relationship between the probability of missingness with the observed and unobserved data</w:t>
      </w:r>
      <w:r>
        <w:t xml:space="preserve"> </w:t>
      </w:r>
      <w:r>
        <w:t xml:space="preserve">[7]</w:t>
      </w:r>
      <w:r>
        <w:t xml:space="preserve">. These can be distinguished based on the form and properties of</w:t>
      </w:r>
      <w:r>
        <w:t xml:space="preserve"> </w:t>
      </w:r>
      <w:r>
        <w:t xml:space="preserve">$\pmask$</w:t>
      </w:r>
      <w:r>
        <w:t xml:space="preserve">.</w:t>
      </w:r>
    </w:p>
    <w:bookmarkStart w:id="37" w:name="section"/>
    <w:p>
      <w:pPr>
        <w:pStyle w:val="Heading3"/>
      </w:pPr>
      <w:r>
        <w:t xml:space="preserve">1.3.1</w:t>
      </w:r>
      <w:r>
        <w:t xml:space="preserve"> </w:t>
      </w:r>
      <w:hyperlink w:anchor="acronyms_MCAR">
        <w:r>
          <w:rPr>
            <w:rStyle w:val="Hyperlink"/>
          </w:rPr>
          <w:t xml:space="preserve">MCAR</w:t>
        </w:r>
      </w:hyperlink>
    </w:p>
    <w:p>
      <w:pPr>
        <w:pStyle w:val="FirstParagraph"/>
      </w:pPr>
      <w:hyperlink w:anchor="acronyms_MCAR">
        <w:r>
          <w:rPr>
            <w:rStyle w:val="Hyperlink"/>
          </w:rPr>
          <w:t xml:space="preserve">MCAR</w:t>
        </w:r>
      </w:hyperlink>
      <w:r>
        <w:t xml:space="preserve"> </w:t>
      </w:r>
      <w:r>
        <w:t xml:space="preserve">is a missingness mechanism where the probability of missingness is independent of the observed and unobserved data. In other words, the missingness is completely random and does not depend on any of the observed or unobserved data. This is equivalent to the statement that</w:t>
      </w:r>
      <w:r>
        <w:t xml:space="preserve"> </w:t>
      </w:r>
      <w:r>
        <w:t xml:space="preserve">$\rvx\independent\rvm$</w:t>
      </w:r>
      <w:r>
        <w:t xml:space="preserve">. This also indicates that each component of</w:t>
      </w:r>
      <w:r>
        <w:t xml:space="preserve"> </w:t>
      </w:r>
      <w:r>
        <w:t xml:space="preserve">$\vm, m_i$</w:t>
      </w:r>
      <w:r>
        <w:t xml:space="preserve">, is an independent Bernoulli random variable with probability</w:t>
      </w:r>
      <w:r>
        <w:t xml:space="preserve"> </w:t>
      </w:r>
      <m:oMath>
        <m:sSub>
          <m:e>
            <m:r>
              <m:t>p</m:t>
            </m:r>
          </m:e>
          <m:sub>
            <m:r>
              <m:t>i</m:t>
            </m:r>
          </m:sub>
        </m:sSub>
      </m:oMath>
      <w:r>
        <w:t xml:space="preserve"> </w:t>
      </w:r>
      <w:r>
        <w:t xml:space="preserve">independent of</w:t>
      </w:r>
      <w:r>
        <w:t xml:space="preserve"> </w:t>
      </w:r>
      <w:r>
        <w:t xml:space="preserve">$\vx$</w:t>
      </w:r>
      <w:r>
        <w:t xml:space="preserve">.</w:t>
      </w:r>
    </w:p>
    <w:bookmarkEnd w:id="37"/>
    <w:bookmarkStart w:id="38" w:name="section-1"/>
    <w:p>
      <w:pPr>
        <w:pStyle w:val="Heading3"/>
      </w:pPr>
      <w:r>
        <w:t xml:space="preserve">1.3.2</w:t>
      </w:r>
      <w:r>
        <w:t xml:space="preserve"> </w:t>
      </w:r>
      <w:hyperlink w:anchor="acronyms_MAR">
        <w:r>
          <w:rPr>
            <w:rStyle w:val="Hyperlink"/>
          </w:rPr>
          <w:t xml:space="preserve">MAR</w:t>
        </w:r>
      </w:hyperlink>
    </w:p>
    <w:p>
      <w:pPr>
        <w:pStyle w:val="FirstParagraph"/>
      </w:pPr>
      <w:r>
        <w:t xml:space="preserve">The missigness mechanism</w:t>
      </w:r>
      <w:r>
        <w:t xml:space="preserve"> </w:t>
      </w:r>
      <w:hyperlink w:anchor="acronyms_MAR">
        <w:r>
          <w:rPr>
            <w:rStyle w:val="Hyperlink"/>
          </w:rPr>
          <w:t xml:space="preserve">MAR</w:t>
        </w:r>
      </w:hyperlink>
      <w:r>
        <w:t xml:space="preserve"> </w:t>
      </w:r>
      <w:r>
        <w:t xml:space="preserve">indicates that the probability of missingness depends only on the observed values. In more techinicality, let</w:t>
      </w:r>
      <w:r>
        <w:t xml:space="preserve"> </w:t>
      </w:r>
      <w:r>
        <w:t xml:space="preserve">$\rvx$</w:t>
      </w:r>
      <w:r>
        <w:t xml:space="preserve"> </w:t>
      </w:r>
      <w:r>
        <w:t xml:space="preserve">and</w:t>
      </w:r>
      <w:r>
        <w:t xml:space="preserve"> </w:t>
      </w:r>
      <w:r>
        <w:t xml:space="preserve">$\rvm$</w:t>
      </w:r>
      <w:r>
        <w:t xml:space="preserve"> </w:t>
      </w:r>
      <w:r>
        <w:t xml:space="preserve">be partitoned as</w:t>
      </w:r>
      <w:r>
        <w:t xml:space="preserve"> </w:t>
      </w:r>
      <w:r>
        <w:t xml:space="preserve">$\{\rvx_1,\rvx_2\}$</w:t>
      </w:r>
      <w:r>
        <w:t xml:space="preserve"> </w:t>
      </w:r>
      <w:r>
        <w:t xml:space="preserve">and</w:t>
      </w:r>
      <w:r>
        <w:t xml:space="preserve"> </w:t>
      </w:r>
      <w:r>
        <w:t xml:space="preserve">$\{\rvm_1,\rvm_2\}$</w:t>
      </w:r>
      <w:r>
        <w:t xml:space="preserve"> </w:t>
      </w:r>
      <w:r>
        <w:t xml:space="preserve">respectively, such that</w:t>
      </w:r>
      <w:r>
        <w:t xml:space="preserve"> </w:t>
      </w:r>
      <w:r>
        <w:t xml:space="preserve">$\rvx_1$</w:t>
      </w:r>
      <w:r>
        <w:t xml:space="preserve"> </w:t>
      </w:r>
      <w:r>
        <w:t xml:space="preserve">is always observed, that is,</w:t>
      </w:r>
      <w:r>
        <w:t xml:space="preserve"> </w:t>
      </w:r>
      <w:r>
        <w:t xml:space="preserve">$\rvm_1=\mathbf{1}$</w:t>
      </w:r>
      <w:r>
        <w:t xml:space="preserve">. Then,</w:t>
      </w:r>
      <w:r>
        <w:t xml:space="preserve"> </w:t>
      </w:r>
      <w:r>
        <w:t xml:space="preserve">$\rvx$</w:t>
      </w:r>
      <w:r>
        <w:t xml:space="preserve"> </w:t>
      </w:r>
      <w:r>
        <w:t xml:space="preserve">is said to be</w:t>
      </w:r>
      <w:r>
        <w:t xml:space="preserve"> </w:t>
      </w:r>
      <w:hyperlink w:anchor="acronyms_MAR">
        <w:r>
          <w:rPr>
            <w:rStyle w:val="Hyperlink"/>
          </w:rPr>
          <w:t xml:space="preserve">MAR</w:t>
        </w:r>
      </w:hyperlink>
      <w:r>
        <w:t xml:space="preserve"> </w:t>
      </w:r>
      <w:r>
        <w:t xml:space="preserve">if</w:t>
      </w:r>
      <w:r>
        <w:t xml:space="preserve"> </w:t>
      </w:r>
      <w:r>
        <w:t xml:space="preserve">$\pmask$</w:t>
      </w:r>
      <w:r>
        <w:t xml:space="preserve"> </w:t>
      </w:r>
      <w:r>
        <w:t xml:space="preserve">depends only on</w:t>
      </w:r>
      <w:r>
        <w:t xml:space="preserve"> </w:t>
      </w:r>
      <w:r>
        <w:t xml:space="preserve">$\rvx_1$</w:t>
      </w:r>
      <w:r>
        <w:t xml:space="preserve">.</w:t>
      </w:r>
    </w:p>
    <w:bookmarkEnd w:id="38"/>
    <w:bookmarkStart w:id="39" w:name="section-2"/>
    <w:p>
      <w:pPr>
        <w:pStyle w:val="Heading3"/>
      </w:pPr>
      <w:r>
        <w:t xml:space="preserve">1.3.3</w:t>
      </w:r>
      <w:r>
        <w:t xml:space="preserve"> </w:t>
      </w:r>
      <w:hyperlink w:anchor="acronyms_MNAR">
        <w:r>
          <w:rPr>
            <w:rStyle w:val="Hyperlink"/>
          </w:rPr>
          <w:t xml:space="preserve">MNAR</w:t>
        </w:r>
      </w:hyperlink>
    </w:p>
    <w:p>
      <w:pPr>
        <w:pStyle w:val="FirstParagraph"/>
      </w:pPr>
      <w:r>
        <w:t xml:space="preserve">If data is missing by the</w:t>
      </w:r>
      <w:r>
        <w:t xml:space="preserve"> </w:t>
      </w:r>
      <w:hyperlink w:anchor="acronyms_MNAR">
        <w:r>
          <w:rPr>
            <w:rStyle w:val="Hyperlink"/>
          </w:rPr>
          <w:t xml:space="preserve">MNAR</w:t>
        </w:r>
      </w:hyperlink>
      <w:r>
        <w:t xml:space="preserve"> </w:t>
      </w:r>
      <w:r>
        <w:t xml:space="preserve">mechanism</w:t>
      </w:r>
    </w:p>
    <w:bookmarkEnd w:id="39"/>
    <w:bookmarkEnd w:id="40"/>
    <w:bookmarkEnd w:id="41"/>
    <w:bookmarkStart w:id="42" w:name="sec-background"/>
    <w:p>
      <w:pPr>
        <w:pStyle w:val="Heading1"/>
      </w:pPr>
      <w:r>
        <w:t xml:space="preserve">2. State-of-the Art in Imputation</w:t>
      </w:r>
    </w:p>
    <w:bookmarkEnd w:id="42"/>
    <w:bookmarkStart w:id="43" w:name="sec-knnTheory"/>
    <w:p>
      <w:pPr>
        <w:pStyle w:val="Heading1"/>
      </w:pPr>
      <w:r>
        <w:t xml:space="preserve">3. Error Guarantees for Nearest-Neighbor Imputation</w:t>
      </w:r>
    </w:p>
    <w:bookmarkEnd w:id="43"/>
    <w:bookmarkStart w:id="44" w:name="sec-mudra"/>
    <w:p>
      <w:pPr>
        <w:pStyle w:val="Heading1"/>
      </w:pPr>
      <w:r>
        <w:t xml:space="preserve">4. Multivariate Functional Linear Discriminant Analysis for Partially-Observed Time Series</w:t>
      </w:r>
    </w:p>
    <w:bookmarkEnd w:id="44"/>
    <w:bookmarkStart w:id="45" w:name="sec-fuse"/>
    <w:p>
      <w:pPr>
        <w:pStyle w:val="Heading1"/>
      </w:pPr>
      <w:r>
        <w:t xml:space="preserve">5. Fast Semi-Supervised Node Embedding via Structural and Label-Aware Optimization</w:t>
      </w:r>
    </w:p>
    <w:bookmarkEnd w:id="45"/>
    <w:bookmarkStart w:id="46" w:name="sec-conclusion"/>
    <w:p>
      <w:pPr>
        <w:pStyle w:val="Heading1"/>
      </w:pPr>
      <w:r>
        <w:t xml:space="preserve">6. Conclusion</w:t>
      </w:r>
    </w:p>
    <w:p>
      <w:pPr>
        <w:pStyle w:val="FirstParagraph"/>
      </w:pPr>
      <w:r>
        <w:t xml:space="preserve">This is the conclusion of the thesis.</w:t>
      </w:r>
    </w:p>
    <w:bookmarkEnd w:id="46"/>
    <w:bookmarkStart w:id="60" w:name="references"/>
    <w:p>
      <w:pPr>
        <w:pStyle w:val="Heading1"/>
      </w:pPr>
      <w:r>
        <w:t xml:space="preserve">References</w:t>
      </w:r>
    </w:p>
    <w:bookmarkStart w:id="59" w:name="refs"/>
    <w:bookmarkStart w:id="48" w:name="ref-imputationDimRet"/>
    <w:p>
      <w:pPr>
        <w:pStyle w:val="Bibliography"/>
      </w:pPr>
      <w:r>
        <w:t xml:space="preserve">[1]</w:t>
      </w:r>
      <w:r>
        <w:t xml:space="preserve"> </w:t>
      </w:r>
      <w:r>
        <w:t xml:space="preserve">	</w:t>
      </w:r>
      <w:r>
        <w:t xml:space="preserve">M. L. Morvan and G. Varoquaux,</w:t>
      </w:r>
      <w:r>
        <w:t xml:space="preserve"> </w:t>
      </w:r>
      <w:r>
        <w:t xml:space="preserve">“Imputation for prediction: Beware of diminishing returns.”</w:t>
      </w:r>
      <w:r>
        <w:t xml:space="preserve"> </w:t>
      </w:r>
      <w:r>
        <w:t xml:space="preserve">in</w:t>
      </w:r>
      <w:r>
        <w:t xml:space="preserve"> </w:t>
      </w:r>
      <w:r>
        <w:rPr>
          <w:i/>
          <w:iCs/>
        </w:rPr>
        <w:t xml:space="preserve">The thirteenth international conference on learning representations</w:t>
      </w:r>
      <w:r>
        <w:t xml:space="preserve">, 2025. Available:</w:t>
      </w:r>
      <w:r>
        <w:t xml:space="preserve"> </w:t>
      </w:r>
      <w:hyperlink r:id="rId47">
        <w:r>
          <w:rPr>
            <w:rStyle w:val="Hyperlink"/>
          </w:rPr>
          <w:t xml:space="preserve">https://openreview.net/forum?id=D1Y2XFgsPI</w:t>
        </w:r>
      </w:hyperlink>
    </w:p>
    <w:bookmarkEnd w:id="48"/>
    <w:bookmarkStart w:id="50" w:name="ref-mudra"/>
    <w:p>
      <w:pPr>
        <w:pStyle w:val="Bibliography"/>
      </w:pPr>
      <w:r>
        <w:t xml:space="preserve">[2]</w:t>
      </w:r>
      <w:r>
        <w:t xml:space="preserve"> </w:t>
      </w:r>
      <w:r>
        <w:t xml:space="preserve">	</w:t>
      </w:r>
      <w:r>
        <w:t xml:space="preserve">R. Bordoloi, C. Réda, O. Trautmann, S. Bej, and O. Wolkenhauer,</w:t>
      </w:r>
      <w:r>
        <w:t xml:space="preserve"> </w:t>
      </w:r>
      <w:r>
        <w:t xml:space="preserve">“Multivariate functional linear discriminant analysis for partially-observed time series,”</w:t>
      </w:r>
      <w:r>
        <w:t xml:space="preserve"> </w:t>
      </w:r>
      <w:r>
        <w:rPr>
          <w:i/>
          <w:iCs/>
        </w:rPr>
        <w:t xml:space="preserve">Machine Learning</w:t>
      </w:r>
      <w:r>
        <w:t xml:space="preserve">, vol. 114, no. 3, p. 80, Feb. 2025, doi:</w:t>
      </w:r>
      <w:r>
        <w:t xml:space="preserve"> </w:t>
      </w:r>
      <w:hyperlink r:id="rId49">
        <w:r>
          <w:rPr>
            <w:rStyle w:val="Hyperlink"/>
          </w:rPr>
          <w:t xml:space="preserve">10.1007/s10994-025-06741-0</w:t>
        </w:r>
      </w:hyperlink>
      <w:r>
        <w:t xml:space="preserve">.</w:t>
      </w:r>
    </w:p>
    <w:bookmarkEnd w:id="50"/>
    <w:bookmarkStart w:id="51" w:name="ref-pseudoinverse"/>
    <w:p>
      <w:pPr>
        <w:pStyle w:val="Bibliography"/>
      </w:pPr>
      <w:r>
        <w:t xml:space="preserve">[3]</w:t>
      </w:r>
      <w:r>
        <w:t xml:space="preserve"> </w:t>
      </w:r>
      <w:r>
        <w:t xml:space="preserve">	</w:t>
      </w:r>
      <w:r>
        <w:t xml:space="preserve">C. R. Rao and S. K. Mitra,</w:t>
      </w:r>
      <w:r>
        <w:t xml:space="preserve"> </w:t>
      </w:r>
      <w:r>
        <w:rPr>
          <w:i/>
          <w:iCs/>
        </w:rPr>
        <w:t xml:space="preserve">Generalized inverse of matrices and its applications</w:t>
      </w:r>
      <w:r>
        <w:t xml:space="preserve">. in Wiley series in probability and mathematical statistics. New York: Wiley, 1971.</w:t>
      </w:r>
    </w:p>
    <w:bookmarkEnd w:id="51"/>
    <w:bookmarkStart w:id="53" w:name="ref-penrosePseudoinverse"/>
    <w:p>
      <w:pPr>
        <w:pStyle w:val="Bibliography"/>
      </w:pPr>
      <w:r>
        <w:t xml:space="preserve">[4]</w:t>
      </w:r>
      <w:r>
        <w:t xml:space="preserve"> </w:t>
      </w:r>
      <w:r>
        <w:t xml:space="preserve">	</w:t>
      </w:r>
      <w:r>
        <w:t xml:space="preserve">R. Penrose,</w:t>
      </w:r>
      <w:r>
        <w:t xml:space="preserve"> </w:t>
      </w:r>
      <w:r>
        <w:t xml:space="preserve">“A generalized inverse for matrices,”</w:t>
      </w:r>
      <w:r>
        <w:t xml:space="preserve"> </w:t>
      </w:r>
      <w:r>
        <w:rPr>
          <w:i/>
          <w:iCs/>
        </w:rPr>
        <w:t xml:space="preserve">Mathematical Proceedings of the Cambridge Philosophical Society</w:t>
      </w:r>
      <w:r>
        <w:t xml:space="preserve">, vol. 51, no. 3, pp. 406–413, 1955, doi:</w:t>
      </w:r>
      <w:r>
        <w:t xml:space="preserve"> </w:t>
      </w:r>
      <w:hyperlink r:id="rId52">
        <w:r>
          <w:rPr>
            <w:rStyle w:val="Hyperlink"/>
          </w:rPr>
          <w:t xml:space="preserve">10.1017/S0305004100030401</w:t>
        </w:r>
      </w:hyperlink>
      <w:r>
        <w:t xml:space="preserve">.</w:t>
      </w:r>
    </w:p>
    <w:bookmarkEnd w:id="53"/>
    <w:bookmarkStart w:id="55" w:name="ref-mahalanobisDistance"/>
    <w:p>
      <w:pPr>
        <w:pStyle w:val="Bibliography"/>
      </w:pPr>
      <w:r>
        <w:t xml:space="preserve">[5]</w:t>
      </w:r>
      <w:r>
        <w:t xml:space="preserve"> </w:t>
      </w:r>
      <w:r>
        <w:t xml:space="preserve">	</w:t>
      </w:r>
      <w:r>
        <w:t xml:space="preserve">P. C. Mahalanobis,</w:t>
      </w:r>
      <w:r>
        <w:t xml:space="preserve"> </w:t>
      </w:r>
      <w:r>
        <w:t xml:space="preserve">“Reprint of: Mahalanobis, p.c. (1936) "on the generalised distance in statistics.",”</w:t>
      </w:r>
      <w:r>
        <w:t xml:space="preserve"> </w:t>
      </w:r>
      <w:r>
        <w:rPr>
          <w:i/>
          <w:iCs/>
        </w:rPr>
        <w:t xml:space="preserve">Sankhya A</w:t>
      </w:r>
      <w:r>
        <w:t xml:space="preserve">, vol. 80, no. 1, pp. 1–7, Dec. 2018, doi:</w:t>
      </w:r>
      <w:r>
        <w:t xml:space="preserve"> </w:t>
      </w:r>
      <w:hyperlink r:id="rId54">
        <w:r>
          <w:rPr>
            <w:rStyle w:val="Hyperlink"/>
          </w:rPr>
          <w:t xml:space="preserve">10.1007/s13171-019-00164-5</w:t>
        </w:r>
      </w:hyperlink>
      <w:r>
        <w:t xml:space="preserve">.</w:t>
      </w:r>
    </w:p>
    <w:bookmarkEnd w:id="55"/>
    <w:bookmarkStart w:id="57" w:name="ref-hyperimpute"/>
    <w:p>
      <w:pPr>
        <w:pStyle w:val="Bibliography"/>
      </w:pPr>
      <w:r>
        <w:t xml:space="preserve">[6]</w:t>
      </w:r>
      <w:r>
        <w:t xml:space="preserve"> </w:t>
      </w:r>
      <w:r>
        <w:t xml:space="preserve">	</w:t>
      </w:r>
      <w:r>
        <w:t xml:space="preserve">D. Jarrett, B. C. Cebere, T. Liu, A. Curth, and M. van der Schaar,</w:t>
      </w:r>
      <w:r>
        <w:t xml:space="preserve"> </w:t>
      </w:r>
      <w:r>
        <w:t xml:space="preserve">“</w:t>
      </w:r>
      <w:r>
        <w:t xml:space="preserve">H</w:t>
      </w:r>
      <w:r>
        <w:t xml:space="preserve">yper</w:t>
      </w:r>
      <w:r>
        <w:t xml:space="preserve">I</w:t>
      </w:r>
      <w:r>
        <w:t xml:space="preserve">mpute: Generalized iterative imputation with automatic model selection,”</w:t>
      </w:r>
      <w:r>
        <w:t xml:space="preserve"> </w:t>
      </w:r>
      <w:r>
        <w:t xml:space="preserve">in</w:t>
      </w:r>
      <w:r>
        <w:t xml:space="preserve"> </w:t>
      </w:r>
      <w:r>
        <w:rPr>
          <w:i/>
          <w:iCs/>
        </w:rPr>
        <w:t xml:space="preserve">Proceedings of the 39th international conference on machine learning</w:t>
      </w:r>
      <w:r>
        <w:t xml:space="preserve">, K. Chaudhuri, S. Jegelka, L. Song, C. Szepesvari, G. Niu, and S. Sabato, Eds., in Proceedings of machine learning research, vol. 162. PMLR, Jun. 2022, pp. 9916–9937. Available:</w:t>
      </w:r>
      <w:r>
        <w:t xml:space="preserve"> </w:t>
      </w:r>
      <w:hyperlink r:id="rId56">
        <w:r>
          <w:rPr>
            <w:rStyle w:val="Hyperlink"/>
          </w:rPr>
          <w:t xml:space="preserve">https://proceedings.mlr.press/v162/jarrett22a.html</w:t>
        </w:r>
      </w:hyperlink>
    </w:p>
    <w:bookmarkEnd w:id="57"/>
    <w:bookmarkStart w:id="58" w:name="ref-typesOfMissingness"/>
    <w:p>
      <w:pPr>
        <w:pStyle w:val="Bibliography"/>
      </w:pPr>
      <w:r>
        <w:t xml:space="preserve">[7]</w:t>
      </w:r>
      <w:r>
        <w:t xml:space="preserve"> </w:t>
      </w:r>
      <w:r>
        <w:t xml:space="preserve">	</w:t>
      </w:r>
      <w:r>
        <w:t xml:space="preserve">D. B. Rubin,</w:t>
      </w:r>
      <w:r>
        <w:t xml:space="preserve"> </w:t>
      </w:r>
      <w:r>
        <w:t xml:space="preserve">“Inference and missing data,”</w:t>
      </w:r>
      <w:r>
        <w:t xml:space="preserve"> </w:t>
      </w:r>
      <w:r>
        <w:rPr>
          <w:i/>
          <w:iCs/>
        </w:rPr>
        <w:t xml:space="preserve">Biometrika</w:t>
      </w:r>
      <w:r>
        <w:t xml:space="preserve">, vol. 63, no. 3, pp. 581–592, 1976.</w:t>
      </w:r>
    </w:p>
    <w:bookmarkEnd w:id="58"/>
    <w:bookmarkEnd w:id="59"/>
    <w:bookmarkEnd w:id="60"/>
    <w:bookmarkStart w:id="61" w:name="technical-proofs"/>
    <w:p>
      <w:pPr>
        <w:pStyle w:val="Heading1"/>
      </w:pPr>
      <w:r>
        <w:t xml:space="preserve">Appendix A — Technical Proofs</w:t>
      </w:r>
    </w:p>
    <w:p>
      <w:pPr>
        <w:pStyle w:val="FirstParagraph"/>
      </w:pPr>
      <w:r>
        <w:t xml:space="preserve">This is the appendix of the thesis.</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doi.org/10.1007/s10994-025-06741-0" TargetMode="External" /><Relationship Type="http://schemas.openxmlformats.org/officeDocument/2006/relationships/hyperlink" Id="rId54" Target="https://doi.org/10.1007/s13171-019-00164-5" TargetMode="External" /><Relationship Type="http://schemas.openxmlformats.org/officeDocument/2006/relationships/hyperlink" Id="rId52" Target="https://doi.org/10.1017/S0305004100030401" TargetMode="External" /><Relationship Type="http://schemas.openxmlformats.org/officeDocument/2006/relationships/hyperlink" Id="rId47" Target="https://openreview.net/forum?id=D1Y2XFgsPI" TargetMode="External" /><Relationship Type="http://schemas.openxmlformats.org/officeDocument/2006/relationships/hyperlink" Id="rId56" Target="https://proceedings.mlr.press/v162/jarrett22a.html"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07/s10994-025-06741-0" TargetMode="External" /><Relationship Type="http://schemas.openxmlformats.org/officeDocument/2006/relationships/hyperlink" Id="rId54" Target="https://doi.org/10.1007/s13171-019-00164-5" TargetMode="External" /><Relationship Type="http://schemas.openxmlformats.org/officeDocument/2006/relationships/hyperlink" Id="rId52" Target="https://doi.org/10.1017/S0305004100030401" TargetMode="External" /><Relationship Type="http://schemas.openxmlformats.org/officeDocument/2006/relationships/hyperlink" Id="rId47" Target="https://openreview.net/forum?id=D1Y2XFgsPI" TargetMode="External" /><Relationship Type="http://schemas.openxmlformats.org/officeDocument/2006/relationships/hyperlink" Id="rId56" Target="https://proceedings.mlr.press/v162/jarrett22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Handling Missing Data for Downstream Tasks</dc:title>
  <dc:creator>Rahul Bordoloi</dc:creator>
  <cp:keywords/>
  <dcterms:created xsi:type="dcterms:W3CDTF">2026-06-08T14:32:29Z</dcterms:created>
  <dcterms:modified xsi:type="dcterms:W3CDTF">2026-06-08T14:32:29Z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ronym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ieee-transactions-on-pattern-analysis-and-machine-intelligence.csl</vt:lpwstr>
  </property>
  <property fmtid="{D5CDD505-2E9C-101B-9397-08002B2CF9AE}" pid="10" name="date">
    <vt:lpwstr>2026-04-10</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