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A560D"/>
          <w:spacing w:val="30"/>
          <w:sz w:val="17"/>
          <w:szCs w:val="17"/>
        </w:rPr>
        <w:t xml:space="preserve">PREPROCESAMIENTO DE DATOS  ·  MISIÓN 2  ·  HITO 2</w:t>
      </w:r>
    </w:p>
    <w:p>
      <w:pPr>
        <w:spacing w:after="100"/>
      </w:pPr>
      <w:r>
        <w:rPr>
          <w:b/>
          <w:bCs/>
          <w:color w:val="2A2A2A"/>
          <w:sz w:val="44"/>
          <w:szCs w:val="44"/>
        </w:rPr>
        <w:t xml:space="preserve">Guion de la sustentación grabada</w:t>
      </w:r>
    </w:p>
    <w:p>
      <w:pPr>
        <w:spacing w:after="320"/>
      </w:pPr>
      <w:r>
        <w:rPr>
          <w:color w:val="7A776F"/>
          <w:sz w:val="21"/>
          <w:szCs w:val="21"/>
        </w:rPr>
        <w:t xml:space="preserve">S11_PD_Grupo05_Sustentacion.mp4  ·  entre 5 y 8 minutos  ·  Ricardo Andrés Borja Beltrán</w:t>
      </w:r>
    </w:p>
    <w:p>
      <w:pPr>
        <w:pBdr>
          <w:bottom w:val="single" w:color="DCD9D1" w:sz="6" w:space="6"/>
        </w:pBdr>
        <w:spacing w:after="200" w:before="60"/>
      </w:pPr>
    </w:p>
    <w:p>
      <w:pPr>
        <w:spacing w:after="140" w:line="300"/>
      </w:pPr>
      <w:r>
        <w:rPr>
          <w:b w:val="false"/>
          <w:bCs w:val="false"/>
          <w:i/>
          <w:iCs/>
          <w:color w:val="2A2A2A"/>
          <w:sz w:val="20"/>
          <w:szCs w:val="20"/>
        </w:rPr>
        <w:t xml:space="preserve">Todo lo que va entre corchetes es una indicación de qué hacer, no se dice en voz alta. Las cifras en negrita salen de la celda correspondiente del cuaderno: si al grabar alguna no coincide, es porque el cuaderno se volvió a correr; usa la que muestre la pantalla.</w:t>
      </w:r>
    </w:p>
    <w:tbl>
      <w:tblPr>
        <w:tblW w:type="dxa" w:w="9360"/>
        <w:tblBorders>
          <w:top w:val="single" w:color="DCD9D1" w:sz="2"/>
          <w:left w:val="none" w:color="FFFFFF" w:sz="0"/>
          <w:bottom w:val="single" w:color="DCD9D1" w:sz="2"/>
          <w:right w:val="none" w:color="FFFFFF" w:sz="0"/>
          <w:insideH w:val="single" w:color="ECEAE4" w:sz="2"/>
          <w:insideV w:val="none" w:color="FFFFFF" w:sz="0"/>
        </w:tblBorders>
      </w:tblPr>
      <w:tblGrid>
        <w:gridCol w:w="2600"/>
        <w:gridCol w:w="1600"/>
        <w:gridCol w:w="5160"/>
      </w:tblGrid>
      <w:tr>
        <w:tc>
          <w:tcPr>
            <w:tcW w:type="dxa" w:w="2600"/>
            <w:shd w:fill="F4F3EF" w:val="clear"/>
            <w:tcMar>
              <w:top w:type="dxa" w:w="80"/>
              <w:left w:type="dxa" w:w="110"/>
              <w:bottom w:type="dxa" w:w="80"/>
              <w:right w:type="dxa" w:w="110"/>
            </w:tcMar>
          </w:tcPr>
          <w:p>
            <w:pPr>
              <w:spacing w:after="0" w:line="240"/>
            </w:pPr>
            <w:r>
              <w:rPr>
                <w:b/>
                <w:bCs/>
                <w:color w:val="2A2A2A"/>
                <w:sz w:val="17"/>
                <w:szCs w:val="17"/>
              </w:rPr>
              <w:t xml:space="preserve">Parte</w:t>
            </w:r>
          </w:p>
        </w:tc>
        <w:tc>
          <w:tcPr>
            <w:tcW w:type="dxa" w:w="1600"/>
            <w:shd w:fill="F4F3EF" w:val="clear"/>
            <w:tcMar>
              <w:top w:type="dxa" w:w="80"/>
              <w:left w:type="dxa" w:w="110"/>
              <w:bottom w:type="dxa" w:w="80"/>
              <w:right w:type="dxa" w:w="110"/>
            </w:tcMar>
          </w:tcPr>
          <w:p>
            <w:pPr>
              <w:spacing w:after="0" w:line="240"/>
            </w:pPr>
            <w:r>
              <w:rPr>
                <w:b/>
                <w:bCs/>
                <w:color w:val="2A2A2A"/>
                <w:sz w:val="17"/>
                <w:szCs w:val="17"/>
              </w:rPr>
              <w:t xml:space="preserve">Duración</w:t>
            </w:r>
          </w:p>
        </w:tc>
        <w:tc>
          <w:tcPr>
            <w:tcW w:type="dxa" w:w="5160"/>
            <w:shd w:fill="F4F3EF" w:val="clear"/>
            <w:tcMar>
              <w:top w:type="dxa" w:w="80"/>
              <w:left w:type="dxa" w:w="110"/>
              <w:bottom w:type="dxa" w:w="80"/>
              <w:right w:type="dxa" w:w="110"/>
            </w:tcMar>
          </w:tcPr>
          <w:p>
            <w:pPr>
              <w:spacing w:after="0" w:line="240"/>
            </w:pPr>
            <w:r>
              <w:rPr>
                <w:b/>
                <w:bCs/>
                <w:color w:val="2A2A2A"/>
                <w:sz w:val="17"/>
                <w:szCs w:val="17"/>
              </w:rPr>
              <w:t xml:space="preserve">Qué se muestra</w:t>
            </w:r>
          </w:p>
        </w:tc>
      </w:tr>
      <w:tr>
        <w:tc>
          <w:tcPr>
            <w:tcW w:type="dxa" w:w="2600"/>
            <w:tcMar>
              <w:top w:type="dxa" w:w="80"/>
              <w:left w:type="dxa" w:w="110"/>
              <w:bottom w:type="dxa" w:w="80"/>
              <w:right w:type="dxa" w:w="110"/>
            </w:tcMar>
          </w:tcPr>
          <w:p>
            <w:pPr>
              <w:spacing w:after="0" w:line="240"/>
            </w:pPr>
            <w:r>
              <w:rPr>
                <w:b w:val="false"/>
                <w:bCs w:val="false"/>
                <w:color w:val="2A2A2A"/>
                <w:sz w:val="17"/>
                <w:szCs w:val="17"/>
              </w:rPr>
              <w:t xml:space="preserve">1 · Apertura</w:t>
            </w:r>
          </w:p>
        </w:tc>
        <w:tc>
          <w:tcPr>
            <w:tcW w:type="dxa" w:w="1600"/>
            <w:tcMar>
              <w:top w:type="dxa" w:w="80"/>
              <w:left w:type="dxa" w:w="110"/>
              <w:bottom w:type="dxa" w:w="80"/>
              <w:right w:type="dxa" w:w="110"/>
            </w:tcMar>
          </w:tcPr>
          <w:p>
            <w:pPr>
              <w:spacing w:after="0" w:line="240"/>
            </w:pPr>
            <w:r>
              <w:rPr>
                <w:b w:val="false"/>
                <w:bCs w:val="false"/>
                <w:color w:val="2A2A2A"/>
                <w:sz w:val="17"/>
                <w:szCs w:val="17"/>
              </w:rPr>
              <w:t xml:space="preserve">30 a 45 s</w:t>
            </w:r>
          </w:p>
        </w:tc>
        <w:tc>
          <w:tcPr>
            <w:tcW w:type="dxa" w:w="5160"/>
            <w:tcMar>
              <w:top w:type="dxa" w:w="80"/>
              <w:left w:type="dxa" w:w="110"/>
              <w:bottom w:type="dxa" w:w="80"/>
              <w:right w:type="dxa" w:w="110"/>
            </w:tcMar>
          </w:tcPr>
          <w:p>
            <w:pPr>
              <w:spacing w:after="0" w:line="240"/>
            </w:pPr>
            <w:r>
              <w:rPr>
                <w:b w:val="false"/>
                <w:bCs w:val="false"/>
                <w:color w:val="2A2A2A"/>
                <w:sz w:val="17"/>
                <w:szCs w:val="17"/>
              </w:rPr>
              <w:t xml:space="preserve">Cámara, sin compartir pantalla</w:t>
            </w:r>
          </w:p>
        </w:tc>
      </w:tr>
      <w:tr>
        <w:tc>
          <w:tcPr>
            <w:tcW w:type="dxa" w:w="2600"/>
            <w:tcMar>
              <w:top w:type="dxa" w:w="80"/>
              <w:left w:type="dxa" w:w="110"/>
              <w:bottom w:type="dxa" w:w="80"/>
              <w:right w:type="dxa" w:w="110"/>
            </w:tcMar>
          </w:tcPr>
          <w:p>
            <w:pPr>
              <w:spacing w:after="0" w:line="240"/>
            </w:pPr>
            <w:r>
              <w:rPr>
                <w:b w:val="false"/>
                <w:bCs w:val="false"/>
                <w:color w:val="2A2A2A"/>
                <w:sz w:val="17"/>
                <w:szCs w:val="17"/>
              </w:rPr>
              <w:t xml:space="preserve">2 · Demostración del pipeline</w:t>
            </w:r>
          </w:p>
        </w:tc>
        <w:tc>
          <w:tcPr>
            <w:tcW w:type="dxa" w:w="1600"/>
            <w:tcMar>
              <w:top w:type="dxa" w:w="80"/>
              <w:left w:type="dxa" w:w="110"/>
              <w:bottom w:type="dxa" w:w="80"/>
              <w:right w:type="dxa" w:w="110"/>
            </w:tcMar>
          </w:tcPr>
          <w:p>
            <w:pPr>
              <w:spacing w:after="0" w:line="240"/>
            </w:pPr>
            <w:r>
              <w:rPr>
                <w:b w:val="false"/>
                <w:bCs w:val="false"/>
                <w:color w:val="2A2A2A"/>
                <w:sz w:val="17"/>
                <w:szCs w:val="17"/>
              </w:rPr>
              <w:t xml:space="preserve">2 a 3 min</w:t>
            </w:r>
          </w:p>
        </w:tc>
        <w:tc>
          <w:tcPr>
            <w:tcW w:type="dxa" w:w="5160"/>
            <w:tcMar>
              <w:top w:type="dxa" w:w="80"/>
              <w:left w:type="dxa" w:w="110"/>
              <w:bottom w:type="dxa" w:w="80"/>
              <w:right w:type="dxa" w:w="110"/>
            </w:tcMar>
          </w:tcPr>
          <w:p>
            <w:pPr>
              <w:spacing w:after="0" w:line="240"/>
            </w:pPr>
            <w:r>
              <w:rPr>
                <w:b w:val="false"/>
                <w:bCs w:val="false"/>
                <w:color w:val="2A2A2A"/>
                <w:sz w:val="17"/>
                <w:szCs w:val="17"/>
              </w:rPr>
              <w:t xml:space="preserve">Pantalla compartida: el cuaderno corriendo de principio a fin</w:t>
            </w:r>
          </w:p>
        </w:tc>
      </w:tr>
      <w:tr>
        <w:tc>
          <w:tcPr>
            <w:tcW w:type="dxa" w:w="2600"/>
            <w:tcMar>
              <w:top w:type="dxa" w:w="80"/>
              <w:left w:type="dxa" w:w="110"/>
              <w:bottom w:type="dxa" w:w="80"/>
              <w:right w:type="dxa" w:w="110"/>
            </w:tcMar>
          </w:tcPr>
          <w:p>
            <w:pPr>
              <w:spacing w:after="0" w:line="240"/>
            </w:pPr>
            <w:r>
              <w:rPr>
                <w:b w:val="false"/>
                <w:bCs w:val="false"/>
                <w:color w:val="2A2A2A"/>
                <w:sz w:val="17"/>
                <w:szCs w:val="17"/>
              </w:rPr>
              <w:t xml:space="preserve">3 · Antes y después</w:t>
            </w:r>
          </w:p>
        </w:tc>
        <w:tc>
          <w:tcPr>
            <w:tcW w:type="dxa" w:w="1600"/>
            <w:tcMar>
              <w:top w:type="dxa" w:w="80"/>
              <w:left w:type="dxa" w:w="110"/>
              <w:bottom w:type="dxa" w:w="80"/>
              <w:right w:type="dxa" w:w="110"/>
            </w:tcMar>
          </w:tcPr>
          <w:p>
            <w:pPr>
              <w:spacing w:after="0" w:line="240"/>
            </w:pPr>
            <w:r>
              <w:rPr>
                <w:b w:val="false"/>
                <w:bCs w:val="false"/>
                <w:color w:val="2A2A2A"/>
                <w:sz w:val="17"/>
                <w:szCs w:val="17"/>
              </w:rPr>
              <w:t xml:space="preserve">2 a 3 min</w:t>
            </w:r>
          </w:p>
        </w:tc>
        <w:tc>
          <w:tcPr>
            <w:tcW w:type="dxa" w:w="5160"/>
            <w:tcMar>
              <w:top w:type="dxa" w:w="80"/>
              <w:left w:type="dxa" w:w="110"/>
              <w:bottom w:type="dxa" w:w="80"/>
              <w:right w:type="dxa" w:w="110"/>
            </w:tcMar>
          </w:tcPr>
          <w:p>
            <w:pPr>
              <w:spacing w:after="0" w:line="240"/>
            </w:pPr>
            <w:r>
              <w:rPr>
                <w:b w:val="false"/>
                <w:bCs w:val="false"/>
                <w:color w:val="2A2A2A"/>
                <w:sz w:val="17"/>
                <w:szCs w:val="17"/>
              </w:rPr>
              <w:t xml:space="preserve">Pantalla compartida: dos transformaciones con su tabla o gráfica</w:t>
            </w:r>
          </w:p>
        </w:tc>
      </w:tr>
      <w:tr>
        <w:tc>
          <w:tcPr>
            <w:tcW w:type="dxa" w:w="2600"/>
            <w:tcMar>
              <w:top w:type="dxa" w:w="80"/>
              <w:left w:type="dxa" w:w="110"/>
              <w:bottom w:type="dxa" w:w="80"/>
              <w:right w:type="dxa" w:w="110"/>
            </w:tcMar>
          </w:tcPr>
          <w:p>
            <w:pPr>
              <w:spacing w:after="0" w:line="240"/>
            </w:pPr>
            <w:r>
              <w:rPr>
                <w:b w:val="false"/>
                <w:bCs w:val="false"/>
                <w:color w:val="2A2A2A"/>
                <w:sz w:val="17"/>
                <w:szCs w:val="17"/>
              </w:rPr>
              <w:t xml:space="preserve">4 · Cierre</w:t>
            </w:r>
          </w:p>
        </w:tc>
        <w:tc>
          <w:tcPr>
            <w:tcW w:type="dxa" w:w="1600"/>
            <w:tcMar>
              <w:top w:type="dxa" w:w="80"/>
              <w:left w:type="dxa" w:w="110"/>
              <w:bottom w:type="dxa" w:w="80"/>
              <w:right w:type="dxa" w:w="110"/>
            </w:tcMar>
          </w:tcPr>
          <w:p>
            <w:pPr>
              <w:spacing w:after="0" w:line="240"/>
            </w:pPr>
            <w:r>
              <w:rPr>
                <w:b w:val="false"/>
                <w:bCs w:val="false"/>
                <w:color w:val="2A2A2A"/>
                <w:sz w:val="17"/>
                <w:szCs w:val="17"/>
              </w:rPr>
              <w:t xml:space="preserve">30 a 45 s</w:t>
            </w:r>
          </w:p>
        </w:tc>
        <w:tc>
          <w:tcPr>
            <w:tcW w:type="dxa" w:w="5160"/>
            <w:tcMar>
              <w:top w:type="dxa" w:w="80"/>
              <w:left w:type="dxa" w:w="110"/>
              <w:bottom w:type="dxa" w:w="80"/>
              <w:right w:type="dxa" w:w="110"/>
            </w:tcMar>
          </w:tcPr>
          <w:p>
            <w:pPr>
              <w:spacing w:after="0" w:line="240"/>
            </w:pPr>
            <w:r>
              <w:rPr>
                <w:b w:val="false"/>
                <w:bCs w:val="false"/>
                <w:color w:val="2A2A2A"/>
                <w:sz w:val="17"/>
                <w:szCs w:val="17"/>
              </w:rPr>
              <w:t xml:space="preserve">Pantalla compartida al inicio (diccionario), cámara al final</w:t>
            </w:r>
          </w:p>
        </w:tc>
      </w:tr>
    </w:tbl>
    <w:p>
      <w:pPr>
        <w:pStyle w:val="Heading1"/>
        <w:pBdr>
          <w:bottom w:val="single" w:color="EA560D" w:sz="6" w:space="6"/>
        </w:pBdr>
        <w:spacing w:after="140" w:before="400"/>
      </w:pPr>
      <w:r>
        <w:rPr>
          <w:b/>
          <w:bCs/>
          <w:color w:val="2A2A2A"/>
          <w:sz w:val="26"/>
          <w:szCs w:val="26"/>
        </w:rPr>
        <w:t xml:space="preserve">Parte 1 · Apertura</w:t>
      </w:r>
    </w:p>
    <w:p>
      <w:pPr>
        <w:spacing w:after="160" w:line="280"/>
      </w:pPr>
      <w:r>
        <w:rPr>
          <w:i/>
          <w:iCs/>
          <w:color w:val="7A776F"/>
          <w:sz w:val="19"/>
          <w:szCs w:val="19"/>
        </w:rPr>
        <w:t xml:space="preserve">[Cámara encendida, sin compartir pantalla todavía.]</w:t>
      </w:r>
    </w:p>
    <w:p>
      <w:pPr>
        <w:spacing w:after="140" w:line="300"/>
      </w:pPr>
      <w:r>
        <w:rPr>
          <w:b w:val="false"/>
          <w:bCs w:val="false"/>
          <w:i w:val="false"/>
          <w:iCs w:val="false"/>
          <w:color w:val="2A2A2A"/>
          <w:sz w:val="21"/>
          <w:szCs w:val="21"/>
        </w:rPr>
        <w:t xml:space="preserve">Buenas. Soy Ricardo Borja, analista de datos del equipo que está trabajando con NovaMarket, y esta es la sustentación del Hito 2 de la Misión 2.</w:t>
      </w:r>
    </w:p>
    <w:p>
      <w:pPr>
        <w:spacing w:after="140" w:line="300"/>
      </w:pPr>
      <w:r>
        <w:rPr>
          <w:b w:val="false"/>
          <w:bCs w:val="false"/>
          <w:i w:val="false"/>
          <w:iCs w:val="false"/>
          <w:color w:val="2A2A2A"/>
          <w:sz w:val="21"/>
          <w:szCs w:val="21"/>
        </w:rPr>
        <w:t xml:space="preserve">Durante cinco semanas resolvimos cinco problemas distintos del dataset de ventas, cada uno en su propio cuaderno: la limpieza de inconsistencias, los valores atípicos, el escalado, la codificación de categóricas y las transformaciones de fecha, texto y variables sesgadas. Eso sirvió para aprender cada técnica por separado, pero dejó cinco archivos intermedios que alguien tenía que ir cargando a mano.</w:t>
      </w:r>
    </w:p>
    <w:p>
      <w:pPr>
        <w:spacing w:after="140" w:line="300"/>
      </w:pPr>
      <w:r>
        <w:rPr>
          <w:b w:val="false"/>
          <w:bCs w:val="false"/>
          <w:i w:val="false"/>
          <w:iCs w:val="false"/>
          <w:color w:val="2A2A2A"/>
          <w:sz w:val="21"/>
          <w:szCs w:val="21"/>
        </w:rPr>
        <w:t xml:space="preserve">Lo que les voy a mostrar hoy es el pipeline que junta esas cinco etapas en un solo recorrido: entra un archivo, sale un archivo, y en el medio no hay que tocar nada.</w:t>
      </w:r>
    </w:p>
    <w:p>
      <w:pPr>
        <w:pStyle w:val="Heading1"/>
        <w:pBdr>
          <w:bottom w:val="single" w:color="EA560D" w:sz="6" w:space="6"/>
        </w:pBdr>
        <w:spacing w:after="140" w:before="400"/>
      </w:pPr>
      <w:r>
        <w:rPr>
          <w:b/>
          <w:bCs/>
          <w:color w:val="2A2A2A"/>
          <w:sz w:val="26"/>
          <w:szCs w:val="26"/>
        </w:rPr>
        <w:t xml:space="preserve">Parte 2 · Demostración del pipeline corriendo</w:t>
      </w:r>
    </w:p>
    <w:p>
      <w:pPr>
        <w:spacing w:after="160" w:line="280"/>
      </w:pPr>
      <w:r>
        <w:rPr>
          <w:i/>
          <w:iCs/>
          <w:color w:val="7A776F"/>
          <w:sz w:val="19"/>
          <w:szCs w:val="19"/>
        </w:rPr>
        <w:t xml:space="preserve">[Compartir pantalla: abrir S11_PD_Grupo05_PipelineLimpiezaTransformacion.ipynb en Jupyter. Empezar arriba del todo, con la tabla de las cinco etapas a la vista.]</w:t>
      </w:r>
    </w:p>
    <w:p>
      <w:pPr>
        <w:spacing w:after="140" w:line="300"/>
      </w:pPr>
      <w:r>
        <w:rPr>
          <w:b w:val="false"/>
          <w:bCs w:val="false"/>
          <w:i w:val="false"/>
          <w:iCs w:val="false"/>
          <w:color w:val="2A2A2A"/>
          <w:sz w:val="21"/>
          <w:szCs w:val="21"/>
        </w:rPr>
        <w:t xml:space="preserve">Este es el cuaderno. Arriba tiene la tabla de las cinco etapas y de qué semana viene cada una. Parte del dataset de la Semana 4, el que ya tiene los faltantes tratados: 620.000 filas y 27 columnas.</w:t>
      </w:r>
    </w:p>
    <w:p>
      <w:pPr>
        <w:spacing w:after="160" w:line="280"/>
      </w:pPr>
      <w:r>
        <w:rPr>
          <w:i/>
          <w:iCs/>
          <w:color w:val="7A776F"/>
          <w:sz w:val="19"/>
          <w:szCs w:val="19"/>
        </w:rPr>
        <w:t xml:space="preserve">[Desplazarse mostrando los cinco encabezados Markdown, uno por uno, sin detenerse a leer el código.]</w:t>
      </w:r>
    </w:p>
    <w:p>
      <w:pPr>
        <w:spacing w:after="140" w:line="300"/>
      </w:pPr>
      <w:r>
        <w:rPr>
          <w:b w:val="false"/>
          <w:bCs w:val="false"/>
          <w:i w:val="false"/>
          <w:iCs w:val="false"/>
          <w:color w:val="2A2A2A"/>
          <w:sz w:val="21"/>
          <w:szCs w:val="21"/>
        </w:rPr>
        <w:t xml:space="preserve">Cada etapa tiene su propio encabezado. Etapa 1, limpieza de inconsistencias y duplicados. Etapa 2, tratamiento de atípicos. Etapa 3, escalado. Etapa 4, codificación. Etapa 5, transformaciones. Están en ese orden porque cada una depende de la anterior: no se pueden comparar dos filas como duplicadas si sus categorías están escritas distinto, y no se puede escalar una columna que todavía tiene un centinela de 999 millones adentro.</w:t>
      </w:r>
    </w:p>
    <w:p>
      <w:pPr>
        <w:spacing w:after="160" w:line="280"/>
      </w:pPr>
      <w:r>
        <w:rPr>
          <w:i/>
          <w:iCs/>
          <w:color w:val="7A776F"/>
          <w:sz w:val="19"/>
          <w:szCs w:val="19"/>
        </w:rPr>
        <w:t xml:space="preserve">[Menú Kernel → Restart Kernel and Run All Cells → confirmar. Si prefieres no esperar en cámara, muestra el cuaderno ya corrido y di la frase de abajo igual, aclarando que así se ve al ejecutarlo completo.]</w:t>
      </w:r>
    </w:p>
    <w:p>
      <w:pPr>
        <w:spacing w:after="140" w:line="300"/>
      </w:pPr>
      <w:r>
        <w:rPr>
          <w:b w:val="false"/>
          <w:bCs w:val="false"/>
          <w:i w:val="false"/>
          <w:iCs w:val="false"/>
          <w:color w:val="2A2A2A"/>
          <w:sz w:val="21"/>
          <w:szCs w:val="21"/>
        </w:rPr>
        <w:t xml:space="preserve">Lo voy a correr completo, de principio a fin, para que vean que no necesita ninguna intervención manual entre etapas. Tarda alrededor de un minuto.</w:t>
      </w:r>
    </w:p>
    <w:p>
      <w:pPr>
        <w:spacing w:after="160" w:line="280"/>
      </w:pPr>
      <w:r>
        <w:rPr>
          <w:i/>
          <w:iCs/>
          <w:color w:val="7A776F"/>
          <w:sz w:val="19"/>
          <w:szCs w:val="19"/>
        </w:rPr>
        <w:t xml:space="preserve">[Mientras corre o al terminar, bajar hasta la última celda.]</w:t>
      </w:r>
    </w:p>
    <w:p>
      <w:pPr>
        <w:spacing w:after="140" w:line="300"/>
      </w:pPr>
      <w:r>
        <w:rPr>
          <w:b w:val="false"/>
          <w:bCs w:val="false"/>
          <w:i w:val="false"/>
          <w:iCs w:val="false"/>
          <w:color w:val="2A2A2A"/>
          <w:sz w:val="21"/>
          <w:szCs w:val="21"/>
        </w:rPr>
        <w:t xml:space="preserve">Ninguna celda quedó en rojo. Y las dos comprobaciones del final son las que importan: el dataset de salida tiene 620.000 filas y 116 columnas, cero duplicados exactos, y las cinco etapas dejaron todas sus columnas. La última celda lo compara contra el dataset de la Semana 10 y coinciden las filas, coinciden las columnas y coincide el orden.</w:t>
      </w:r>
    </w:p>
    <w:p>
      <w:pPr>
        <w:spacing w:after="140" w:line="300"/>
      </w:pPr>
      <w:r>
        <w:rPr>
          <w:b w:val="false"/>
          <w:bCs w:val="false"/>
          <w:i w:val="false"/>
          <w:iCs w:val="false"/>
          <w:color w:val="2A2A2A"/>
          <w:sz w:val="21"/>
          <w:szCs w:val="21"/>
        </w:rPr>
        <w:t xml:space="preserve">Eso es lo que pidió el comité: que cualquiera pueda tomar el archivo de la Semana 4, correr esto, y llegar exactamente al mismo resultado.</w:t>
      </w:r>
    </w:p>
    <w:p>
      <w:pPr>
        <w:spacing w:after="160" w:line="280"/>
      </w:pPr>
      <w:r>
        <w:rPr>
          <w:i/>
          <w:iCs/>
          <w:color w:val="7A776F"/>
          <w:sz w:val="19"/>
          <w:szCs w:val="19"/>
        </w:rPr>
        <w:t xml:space="preserve">[Si preguntan: hay dos ajustes respecto de los cuadernos semanales, y están marcados en el código con el comentario AJUSTE DE ENCADENAMIENTO. El primero convierte los tipos de dato que antes recuperaba el CSV al releerlo. El segundo parte el índice en vez de partir el DataFrame, para no duplicar el dataset en memoria. Ninguna técnica ni ningún parámetro cambió.]</w:t>
      </w:r>
    </w:p>
    <w:p>
      <w:pPr>
        <w:pStyle w:val="Heading1"/>
        <w:pBdr>
          <w:bottom w:val="single" w:color="EA560D" w:sz="6" w:space="6"/>
        </w:pBdr>
        <w:spacing w:after="140" w:before="400"/>
      </w:pPr>
      <w:r>
        <w:rPr>
          <w:b/>
          <w:bCs/>
          <w:color w:val="2A2A2A"/>
          <w:sz w:val="26"/>
          <w:szCs w:val="26"/>
        </w:rPr>
        <w:t xml:space="preserve">Parte 3 · Antes y después</w:t>
      </w:r>
    </w:p>
    <w:p>
      <w:pPr>
        <w:spacing w:after="140" w:line="300"/>
      </w:pPr>
      <w:r>
        <w:rPr>
          <w:b w:val="false"/>
          <w:bCs w:val="false"/>
          <w:i/>
          <w:iCs/>
          <w:color w:val="2A2A2A"/>
          <w:sz w:val="21"/>
          <w:szCs w:val="21"/>
        </w:rPr>
        <w:t xml:space="preserve">Dos transformaciones, una de la Etapa 1 y otra de la Etapa 5, que es donde el efecto se ve solo con mirar la pantalla.</w:t>
      </w:r>
    </w:p>
    <w:p>
      <w:pPr>
        <w:spacing w:after="80" w:before="240"/>
      </w:pPr>
      <w:r>
        <w:rPr>
          <w:b/>
          <w:bCs/>
          <w:color w:val="2A2A2A"/>
          <w:sz w:val="21"/>
          <w:szCs w:val="21"/>
        </w:rPr>
        <w:t xml:space="preserve">Transformación 1 · La misma categoría escrita de 32 formas</w:t>
      </w:r>
    </w:p>
    <w:p>
      <w:pPr>
        <w:spacing w:after="160" w:line="280"/>
      </w:pPr>
      <w:r>
        <w:rPr>
          <w:i/>
          <w:iCs/>
          <w:color w:val="7A776F"/>
          <w:sz w:val="19"/>
          <w:szCs w:val="19"/>
        </w:rPr>
        <w:t xml:space="preserve">[Compartir pantalla: celda de diagnóstico de la Etapa 1, la tabla con variantes_antes y categorias_despues.]</w:t>
      </w:r>
    </w:p>
    <w:p>
      <w:pPr>
        <w:spacing w:after="140" w:line="300"/>
      </w:pPr>
      <w:r>
        <w:rPr>
          <w:b w:val="false"/>
          <w:bCs w:val="false"/>
          <w:i w:val="false"/>
          <w:iCs w:val="false"/>
          <w:color w:val="2A2A2A"/>
          <w:sz w:val="21"/>
          <w:szCs w:val="21"/>
        </w:rPr>
        <w:t xml:space="preserve">Miren la columna categoria_producto. Antes de la limpieza el dataset tenía 32 valores distintos. El catálogo de NovaMarket tiene seis categorías. Los otros 26 eran la misma categoría escrita distinto: con espacios al inicio, en mayúsculas, en minúsculas, o sin tilde.</w:t>
      </w:r>
    </w:p>
    <w:p>
      <w:pPr>
        <w:spacing w:after="140" w:line="300"/>
      </w:pPr>
      <w:r>
        <w:rPr>
          <w:b w:val="false"/>
          <w:bCs w:val="false"/>
          <w:i w:val="false"/>
          <w:iCs w:val="false"/>
          <w:color w:val="2A2A2A"/>
          <w:sz w:val="21"/>
          <w:szCs w:val="21"/>
        </w:rPr>
        <w:t xml:space="preserve">Después de la limpieza quedan exactamente 6. Y lo mismo pasa con canal_compra, que baja de 20 a 4, y con metodo_pago, que baja de 20 a 4.</w:t>
      </w:r>
    </w:p>
    <w:p>
      <w:pPr>
        <w:spacing w:after="140" w:line="300"/>
      </w:pPr>
      <w:r>
        <w:rPr>
          <w:b w:val="false"/>
          <w:bCs w:val="false"/>
          <w:i w:val="false"/>
          <w:iCs w:val="false"/>
          <w:color w:val="2A2A2A"/>
          <w:sz w:val="21"/>
          <w:szCs w:val="21"/>
        </w:rPr>
        <w:t xml:space="preserve">Esto se hizo en dos pasos, y el orden importa. Primero una regla general que quita espacios y unifica mayúsculas; eso resuelve la mayoría. Pero esa regla no puede juntar "Electronica" con "Electrónica", porque para el computador la tilde es otro carácter. Para esas quedó un diccionario de corrección explícito, con tres entradas: Electrónica, Juguetería y PayPal.</w:t>
      </w:r>
    </w:p>
    <w:p>
      <w:pPr>
        <w:spacing w:after="140" w:line="300"/>
      </w:pPr>
      <w:r>
        <w:rPr>
          <w:b w:val="false"/>
          <w:bCs w:val="false"/>
          <w:i w:val="false"/>
          <w:iCs w:val="false"/>
          <w:color w:val="2A2A2A"/>
          <w:sz w:val="21"/>
          <w:szCs w:val="21"/>
        </w:rPr>
        <w:t xml:space="preserve">Por qué importa: si esto no se corrige, el one-hot de la Etapa 4 habría creado 32 columnas en vez de 6, y cada variante de escritura habría quedado como si fuera una categoría de negocio distinta.</w:t>
      </w:r>
    </w:p>
    <w:p>
      <w:pPr>
        <w:spacing w:after="80" w:before="240"/>
      </w:pPr>
      <w:r>
        <w:rPr>
          <w:b/>
          <w:bCs/>
          <w:color w:val="2A2A2A"/>
          <w:sz w:val="21"/>
          <w:szCs w:val="21"/>
        </w:rPr>
        <w:t xml:space="preserve">Transformación 2 · Un monto que estaba imposible de modelar</w:t>
      </w:r>
    </w:p>
    <w:p>
      <w:pPr>
        <w:spacing w:after="160" w:line="280"/>
      </w:pPr>
      <w:r>
        <w:rPr>
          <w:i/>
          <w:iCs/>
          <w:color w:val="7A776F"/>
          <w:sz w:val="19"/>
          <w:szCs w:val="19"/>
        </w:rPr>
        <w:t xml:space="preserve">[Compartir pantalla: celda de la Etapa 2 con el control de monto máximo, y después la celda final de la Etapa 5 con la tabla de sesgos.]</w:t>
      </w:r>
    </w:p>
    <w:p>
      <w:pPr>
        <w:spacing w:after="140" w:line="300"/>
      </w:pPr>
      <w:r>
        <w:rPr>
          <w:b w:val="false"/>
          <w:bCs w:val="false"/>
          <w:i w:val="false"/>
          <w:iCs w:val="false"/>
          <w:color w:val="2A2A2A"/>
          <w:sz w:val="21"/>
          <w:szCs w:val="21"/>
        </w:rPr>
        <w:t xml:space="preserve">El monto de compra tenía dos problemas distintos, y cada etapa resolvió uno.</w:t>
      </w:r>
    </w:p>
    <w:p>
      <w:pPr>
        <w:pStyle w:val="ListParagraph"/>
        <w:numPr>
          <w:ilvl w:val="0"/>
          <w:numId w:val="2"/>
        </w:numPr>
        <w:spacing w:after="90" w:line="290"/>
      </w:pPr>
      <w:r>
        <w:rPr>
          <w:b/>
          <w:bCs/>
          <w:color w:val="2A2A2A"/>
          <w:sz w:val="21"/>
          <w:szCs w:val="21"/>
        </w:rPr>
        <w:t xml:space="preserve">Primero, valores imposibles: </w:t>
      </w:r>
      <w:r>
        <w:rPr>
          <w:color w:val="2A2A2A"/>
          <w:sz w:val="21"/>
          <w:szCs w:val="21"/>
        </w:rPr>
        <w:t xml:space="preserve">en la Etapa 2 el máximo era de 9,99 billones de pesos. No es una venta grande, es un valor centinela: el precio unitario traía 999 millones repetido. Como comprobamos que monto igual a precio por unidades se cumple en el 100 % de las filas, no tocamos el monto directamente: limpiamos los dos factores y lo recalculamos. El máximo baja a 4.457.500 pesos, que sí es una venta real.</w:t>
      </w:r>
    </w:p>
    <w:p>
      <w:pPr>
        <w:pStyle w:val="ListParagraph"/>
        <w:numPr>
          <w:ilvl w:val="0"/>
          <w:numId w:val="2"/>
        </w:numPr>
        <w:spacing w:after="90" w:line="290"/>
      </w:pPr>
      <w:r>
        <w:rPr>
          <w:b/>
          <w:bCs/>
          <w:color w:val="2A2A2A"/>
          <w:sz w:val="21"/>
          <w:szCs w:val="21"/>
        </w:rPr>
        <w:t xml:space="preserve">Segundo, el sesgo: </w:t>
      </w:r>
      <w:r>
        <w:rPr>
          <w:color w:val="2A2A2A"/>
          <w:sz w:val="21"/>
          <w:szCs w:val="21"/>
        </w:rPr>
        <w:t xml:space="preserve">aun con el monto limpio, su sesgo es de 2,00. Una distribución así, con una cola derecha larga, hace que cualquier modelo lineal se vaya detrás de los pocos pedidos grandes. En la Etapa 5 aplicamos dos correcciones: el logaritmo, que deja el sesgo en −0,17 descontando los montos en cero, y Box-Cox, que lo deja en 0,07, prácticamente simétrico. El lambda de Box-Cox, 0,3286, se aprendió solo con el conjunto de entrenamiento.</w:t>
      </w:r>
    </w:p>
    <w:p>
      <w:pPr>
        <w:spacing w:after="140" w:line="300"/>
      </w:pPr>
      <w:r>
        <w:rPr>
          <w:b w:val="false"/>
          <w:bCs w:val="false"/>
          <w:i w:val="false"/>
          <w:iCs w:val="false"/>
          <w:color w:val="2A2A2A"/>
          <w:sz w:val="21"/>
          <w:szCs w:val="21"/>
        </w:rPr>
        <w:t xml:space="preserve">Las dos versiones se conservan junto a la original. Ninguna reemplaza a monto_compra, porque el monto en pesos sigue siendo el que entiende el negocio.</w:t>
      </w:r>
    </w:p>
    <w:p>
      <w:pPr>
        <w:spacing w:after="80" w:before="240"/>
      </w:pPr>
      <w:r>
        <w:rPr>
          <w:b/>
          <w:bCs/>
          <w:color w:val="2A2A2A"/>
          <w:sz w:val="21"/>
          <w:szCs w:val="21"/>
        </w:rPr>
        <w:t xml:space="preserve">Si preguntan por la fuga de datos</w:t>
      </w:r>
    </w:p>
    <w:p>
      <w:pPr>
        <w:spacing w:after="160" w:line="280"/>
      </w:pPr>
      <w:r>
        <w:rPr>
          <w:i/>
          <w:iCs/>
          <w:color w:val="7A776F"/>
          <w:sz w:val="19"/>
          <w:szCs w:val="19"/>
        </w:rPr>
        <w:t xml:space="preserve">[Tener a mano la celda de verificación de la Etapa 3.]</w:t>
      </w:r>
    </w:p>
    <w:p>
      <w:pPr>
        <w:spacing w:after="140" w:line="300"/>
      </w:pPr>
      <w:r>
        <w:rPr>
          <w:b w:val="false"/>
          <w:bCs w:val="false"/>
          <w:i w:val="false"/>
          <w:iCs w:val="false"/>
          <w:color w:val="2A2A2A"/>
          <w:sz w:val="21"/>
          <w:szCs w:val="21"/>
        </w:rPr>
        <w:t xml:space="preserve">Todos los escaladores y codificadores se ajustan solo con el conjunto de entrenamiento, que son 496.000 filas, y después transforman los dos conjuntos. La celda de verificación lo demuestra: para las cinco variables el parámetro guardado coincide con el estadístico del entrenamiento, y en dos de ellas, monto_compra y edad_cliente, el parámetro habría sido distinto si se hubiera ajustado con el dataset completo. Esa diferencia es exactamente la fuga que se evitó.</w:t>
      </w:r>
    </w:p>
    <w:p>
      <w:pPr>
        <w:pStyle w:val="Heading1"/>
        <w:pBdr>
          <w:bottom w:val="single" w:color="EA560D" w:sz="6" w:space="6"/>
        </w:pBdr>
        <w:spacing w:after="140" w:before="400"/>
      </w:pPr>
      <w:r>
        <w:rPr>
          <w:b/>
          <w:bCs/>
          <w:color w:val="2A2A2A"/>
          <w:sz w:val="26"/>
          <w:szCs w:val="26"/>
        </w:rPr>
        <w:t xml:space="preserve">Parte 4 · Cierre</w:t>
      </w:r>
    </w:p>
    <w:p>
      <w:pPr>
        <w:spacing w:after="160" w:line="280"/>
      </w:pPr>
      <w:r>
        <w:rPr>
          <w:i/>
          <w:iCs/>
          <w:color w:val="7A776F"/>
          <w:sz w:val="19"/>
          <w:szCs w:val="19"/>
        </w:rPr>
        <w:t xml:space="preserve">[Compartir pantalla: la tabla del diccionario de datos, al final del cuaderno.]</w:t>
      </w:r>
    </w:p>
    <w:p>
      <w:pPr>
        <w:spacing w:after="140" w:line="300"/>
      </w:pPr>
      <w:r>
        <w:rPr>
          <w:b w:val="false"/>
          <w:bCs w:val="false"/>
          <w:i w:val="false"/>
          <w:iCs w:val="false"/>
          <w:color w:val="2A2A2A"/>
          <w:sz w:val="21"/>
          <w:szCs w:val="21"/>
        </w:rPr>
        <w:t xml:space="preserve">Para cerrar, el diccionario de datos. Tiene una fila por cada columna nueva creada entre las semanas 6 y 10, con tres cosas: el nombre de la columna, de qué semana viene y qué significa. Las 69 columnas one-hot van descritas como familia, porque todas siguen la misma regla de construcción.</w:t>
      </w:r>
    </w:p>
    <w:p>
      <w:pPr>
        <w:spacing w:after="140" w:line="300"/>
      </w:pPr>
      <w:r>
        <w:rPr>
          <w:b w:val="false"/>
          <w:bCs w:val="false"/>
          <w:i w:val="false"/>
          <w:iCs w:val="false"/>
          <w:color w:val="2A2A2A"/>
          <w:sz w:val="21"/>
          <w:szCs w:val="21"/>
        </w:rPr>
        <w:t xml:space="preserve">Con esto, alguien de la Unidad de Datos puede recibir el dataset y entender cada columna sin abrir ninguno de los cuadernos anteriores ni preguntarme nada.</w:t>
      </w:r>
    </w:p>
    <w:p>
      <w:pPr>
        <w:spacing w:after="160" w:line="280"/>
      </w:pPr>
      <w:r>
        <w:rPr>
          <w:i/>
          <w:iCs/>
          <w:color w:val="7A776F"/>
          <w:sz w:val="19"/>
          <w:szCs w:val="19"/>
        </w:rPr>
        <w:t xml:space="preserve">[Dejar de compartir pantalla, volver a cámara.]</w:t>
      </w:r>
    </w:p>
    <w:p>
      <w:pPr>
        <w:spacing w:after="140" w:line="300"/>
      </w:pPr>
      <w:r>
        <w:rPr>
          <w:b w:val="false"/>
          <w:bCs w:val="false"/>
          <w:i w:val="false"/>
          <w:iCs w:val="false"/>
          <w:color w:val="2A2A2A"/>
          <w:sz w:val="21"/>
          <w:szCs w:val="21"/>
        </w:rPr>
        <w:t xml:space="preserve">El dataset final, S11_PD_Grupo05_DatasetTransformado.csv, queda listo con las 620.000 filas y las 116 columnas de las cinco etapas. Con eso cerramos la Misión 2 y queda servido el insumo de la Misión 3, ingeniería de características e integración, que es donde vamos a construir las variables derivadas del cliente y a integrar las fuentes externas. Gracias.</w:t>
      </w:r>
    </w:p>
    <w:p>
      <w:pPr>
        <w:pStyle w:val="Heading1"/>
        <w:pBdr>
          <w:bottom w:val="single" w:color="EA560D" w:sz="6" w:space="6"/>
        </w:pBdr>
        <w:spacing w:after="140" w:before="400"/>
      </w:pPr>
      <w:r>
        <w:rPr>
          <w:b/>
          <w:bCs/>
          <w:color w:val="2A2A2A"/>
          <w:sz w:val="26"/>
          <w:szCs w:val="26"/>
        </w:rPr>
        <w:t xml:space="preserve">Anexo A · Las cifras, por si te preguntan</w:t>
      </w:r>
    </w:p>
    <w:tbl>
      <w:tblPr>
        <w:tblW w:type="dxa" w:w="9360"/>
        <w:tblBorders>
          <w:top w:val="single" w:color="DCD9D1" w:sz="2"/>
          <w:left w:val="none" w:color="FFFFFF" w:sz="0"/>
          <w:bottom w:val="single" w:color="DCD9D1" w:sz="2"/>
          <w:right w:val="none" w:color="FFFFFF" w:sz="0"/>
          <w:insideH w:val="single" w:color="ECEAE4" w:sz="2"/>
          <w:insideV w:val="none" w:color="FFFFFF" w:sz="0"/>
        </w:tblBorders>
      </w:tblPr>
      <w:tblGrid>
        <w:gridCol w:w="2300"/>
        <w:gridCol w:w="4560"/>
        <w:gridCol w:w="2500"/>
      </w:tblGrid>
      <w:tr>
        <w:tc>
          <w:tcPr>
            <w:tcW w:type="dxa" w:w="2300"/>
            <w:shd w:fill="F4F3EF" w:val="clear"/>
            <w:tcMar>
              <w:top w:type="dxa" w:w="80"/>
              <w:left w:type="dxa" w:w="110"/>
              <w:bottom w:type="dxa" w:w="80"/>
              <w:right w:type="dxa" w:w="110"/>
            </w:tcMar>
          </w:tcPr>
          <w:p>
            <w:pPr>
              <w:spacing w:after="0" w:line="240"/>
            </w:pPr>
            <w:r>
              <w:rPr>
                <w:b/>
                <w:bCs/>
                <w:color w:val="2A2A2A"/>
                <w:sz w:val="17"/>
                <w:szCs w:val="17"/>
              </w:rPr>
              <w:t xml:space="preserve">Etapa</w:t>
            </w:r>
          </w:p>
        </w:tc>
        <w:tc>
          <w:tcPr>
            <w:tcW w:type="dxa" w:w="4560"/>
            <w:shd w:fill="F4F3EF" w:val="clear"/>
            <w:tcMar>
              <w:top w:type="dxa" w:w="80"/>
              <w:left w:type="dxa" w:w="110"/>
              <w:bottom w:type="dxa" w:w="80"/>
              <w:right w:type="dxa" w:w="110"/>
            </w:tcMar>
          </w:tcPr>
          <w:p>
            <w:pPr>
              <w:spacing w:after="0" w:line="240"/>
            </w:pPr>
            <w:r>
              <w:rPr>
                <w:b/>
                <w:bCs/>
                <w:color w:val="2A2A2A"/>
                <w:sz w:val="17"/>
                <w:szCs w:val="17"/>
              </w:rPr>
              <w:t xml:space="preserve">Cifra</w:t>
            </w:r>
          </w:p>
        </w:tc>
        <w:tc>
          <w:tcPr>
            <w:tcW w:type="dxa" w:w="2500"/>
            <w:shd w:fill="F4F3EF" w:val="clear"/>
            <w:tcMar>
              <w:top w:type="dxa" w:w="80"/>
              <w:left w:type="dxa" w:w="110"/>
              <w:bottom w:type="dxa" w:w="80"/>
              <w:right w:type="dxa" w:w="110"/>
            </w:tcMar>
          </w:tcPr>
          <w:p>
            <w:pPr>
              <w:spacing w:after="0" w:line="240"/>
            </w:pPr>
            <w:r>
              <w:rPr>
                <w:b/>
                <w:bCs/>
                <w:color w:val="2A2A2A"/>
                <w:sz w:val="17"/>
                <w:szCs w:val="17"/>
              </w:rPr>
              <w:t xml:space="preserve">Valor</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Entrada</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Filas y columnas del archivo de la Semana 4</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620.000 × 27</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1 · Limpieza</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categoria_producto: variantes antes y después</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32 → 6</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1 · Limpieza</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canal_compra y metodo_pago</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20 → 4 cada una</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1 · Limpieza</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Fechas en formato ISO / con barras</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199.608 / 414.858</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1 · Limpieza</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Fechas de calendario imposible (marcadas, no borradas)</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16.466</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1 · Limpieza</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Duplicados exactos tras la regla</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0</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2 · Atípicos</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Precios anulados por centinela o negativo</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25.000 (4,03 %)</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2 · Atípicos</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Unidades anuladas</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35.931 (5,80 %)</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2 · Atípicos</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Edades anuladas</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36.000 (5,81 %)</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2 · Atípicos</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Monto máximo antes y después de recalcular</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9,99 billones → 4.457.500</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2 · Atípicos</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Pesos capados en el percentil 99 (1.298,2 kg)</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6.197</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3 · Escalado</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Filas de entrenamiento y de prueba</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496.000 / 124.000</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3 · Escalado</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Escaladores sin fuga (de 5 evaluados)</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5</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4 · Codificación</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Columnas one-hot generadas</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69</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4 · Codificación</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Códigos postales: distintos → categorías tras agrupar</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493 → 231</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4 · Codificación</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Media del target encoding = tasa de fuga en entrenamiento</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0,2093</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5 · Transformaciones</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Pedidos que mencionan demora</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44.140 (7,12 %)</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5 · Transformaciones</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Clientes sin edad, en el grupo "Sin dato"</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36.000</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5 · Transformaciones</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Sesgo del monto: original → log → Box-Cox</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2,00 → −0,17 → 0,07</w:t>
            </w:r>
          </w:p>
        </w:tc>
      </w:tr>
      <w:tr>
        <w:tc>
          <w:tcPr>
            <w:tcW w:type="dxa" w:w="2300"/>
            <w:tcMar>
              <w:top w:type="dxa" w:w="80"/>
              <w:left w:type="dxa" w:w="110"/>
              <w:bottom w:type="dxa" w:w="80"/>
              <w:right w:type="dxa" w:w="110"/>
            </w:tcMar>
          </w:tcPr>
          <w:p>
            <w:pPr>
              <w:spacing w:after="0" w:line="240"/>
            </w:pPr>
            <w:r>
              <w:rPr>
                <w:b w:val="false"/>
                <w:bCs w:val="false"/>
                <w:color w:val="2A2A2A"/>
                <w:sz w:val="17"/>
                <w:szCs w:val="17"/>
              </w:rPr>
              <w:t xml:space="preserve">Salida</w:t>
            </w:r>
          </w:p>
        </w:tc>
        <w:tc>
          <w:tcPr>
            <w:tcW w:type="dxa" w:w="4560"/>
            <w:tcMar>
              <w:top w:type="dxa" w:w="80"/>
              <w:left w:type="dxa" w:w="110"/>
              <w:bottom w:type="dxa" w:w="80"/>
              <w:right w:type="dxa" w:w="110"/>
            </w:tcMar>
          </w:tcPr>
          <w:p>
            <w:pPr>
              <w:spacing w:after="0" w:line="240"/>
            </w:pPr>
            <w:r>
              <w:rPr>
                <w:b w:val="false"/>
                <w:bCs w:val="false"/>
                <w:color w:val="2A2A2A"/>
                <w:sz w:val="17"/>
                <w:szCs w:val="17"/>
              </w:rPr>
              <w:t xml:space="preserve">Filas, columnas y tamaño</w:t>
            </w:r>
          </w:p>
        </w:tc>
        <w:tc>
          <w:tcPr>
            <w:tcW w:type="dxa" w:w="2500"/>
            <w:tcMar>
              <w:top w:type="dxa" w:w="80"/>
              <w:left w:type="dxa" w:w="110"/>
              <w:bottom w:type="dxa" w:w="80"/>
              <w:right w:type="dxa" w:w="110"/>
            </w:tcMar>
          </w:tcPr>
          <w:p>
            <w:pPr>
              <w:spacing w:after="0" w:line="240"/>
            </w:pPr>
            <w:r>
              <w:rPr>
                <w:b w:val="false"/>
                <w:bCs w:val="false"/>
                <w:color w:val="2A2A2A"/>
                <w:sz w:val="17"/>
                <w:szCs w:val="17"/>
              </w:rPr>
              <w:t xml:space="preserve">620.000 × 116 · 325 MB</w:t>
            </w:r>
          </w:p>
        </w:tc>
      </w:tr>
    </w:tbl>
    <w:p>
      <w:pPr>
        <w:pStyle w:val="Heading1"/>
        <w:pBdr>
          <w:bottom w:val="single" w:color="EA560D" w:sz="6" w:space="6"/>
        </w:pBdr>
        <w:spacing w:after="140" w:before="400"/>
      </w:pPr>
      <w:r>
        <w:rPr>
          <w:b/>
          <w:bCs/>
          <w:color w:val="2A2A2A"/>
          <w:sz w:val="26"/>
          <w:szCs w:val="26"/>
        </w:rPr>
        <w:t xml:space="preserve">Anexo B · Antes de grabar</w:t>
      </w:r>
    </w:p>
    <w:p>
      <w:pPr>
        <w:pStyle w:val="ListParagraph"/>
        <w:numPr>
          <w:ilvl w:val="0"/>
          <w:numId w:val="2"/>
        </w:numPr>
        <w:spacing w:after="90" w:line="290"/>
      </w:pPr>
      <w:r>
        <w:rPr>
          <w:color w:val="2A2A2A"/>
          <w:sz w:val="21"/>
          <w:szCs w:val="21"/>
        </w:rPr>
        <w:t xml:space="preserve">Lee el guion en voz alta con calma y cronométralo. Si pasa de 8 minutos, recorta el Anexo de la fuga de datos y deja solo las dos transformaciones.</w:t>
      </w:r>
    </w:p>
    <w:p>
      <w:pPr>
        <w:pStyle w:val="ListParagraph"/>
        <w:numPr>
          <w:ilvl w:val="0"/>
          <w:numId w:val="2"/>
        </w:numPr>
        <w:spacing w:after="90" w:line="290"/>
      </w:pPr>
      <w:r>
        <w:rPr>
          <w:color w:val="2A2A2A"/>
          <w:sz w:val="21"/>
          <w:szCs w:val="21"/>
        </w:rPr>
        <w:t xml:space="preserve">Corre el cuaderno una vez antes de grabar, para que los tiempos de ejecución que menciones sean los reales de tu máquina.</w:t>
      </w:r>
    </w:p>
    <w:p>
      <w:pPr>
        <w:pStyle w:val="ListParagraph"/>
        <w:numPr>
          <w:ilvl w:val="0"/>
          <w:numId w:val="2"/>
        </w:numPr>
        <w:spacing w:after="90" w:line="290"/>
      </w:pPr>
      <w:r>
        <w:rPr>
          <w:color w:val="2A2A2A"/>
          <w:sz w:val="21"/>
          <w:szCs w:val="21"/>
        </w:rPr>
        <w:t xml:space="preserve">Sube el video como "No listado" en YouTube, o a Drive con permiso "Cualquier persona con el enlace: Lector", y prueba el enlace en una ventana de incógnito.</w:t>
      </w:r>
    </w:p>
    <w:p>
      <w:pPr>
        <w:pStyle w:val="ListParagraph"/>
        <w:numPr>
          <w:ilvl w:val="0"/>
          <w:numId w:val="2"/>
        </w:numPr>
        <w:spacing w:after="90" w:line="290"/>
      </w:pPr>
      <w:r>
        <w:rPr>
          <w:color w:val="2A2A2A"/>
          <w:sz w:val="21"/>
          <w:szCs w:val="21"/>
        </w:rPr>
        <w:t xml:space="preserve">Nombra el archivo exactamente S11_PD_Grupo05_Sustentacion.mp4.</w:t>
      </w:r>
    </w:p>
    <w:p>
      <w:pPr>
        <w:pStyle w:val="ListParagraph"/>
        <w:numPr>
          <w:ilvl w:val="0"/>
          <w:numId w:val="2"/>
        </w:numPr>
        <w:spacing w:after="90" w:line="290"/>
      </w:pPr>
      <w:r>
        <w:rPr>
          <w:color w:val="2A2A2A"/>
          <w:sz w:val="21"/>
          <w:szCs w:val="21"/>
        </w:rPr>
        <w:t xml:space="preserve">Ten los tres enlaces listos antes de abrir el campo de entrega: cuaderno, dataset y video.</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2026-09-24T04:35:13.871Z</dcterms:created>
  <dcterms:modified xsi:type="dcterms:W3CDTF">2026-09-24T04:35:13.872Z</dcterms:modified>
</cp:coreProperties>
</file>

<file path=docProps/custom.xml><?xml version="1.0" encoding="utf-8"?>
<Properties xmlns="http://schemas.openxmlformats.org/officeDocument/2006/custom-properties" xmlns:vt="http://schemas.openxmlformats.org/officeDocument/2006/docPropsVTypes"/>
</file>