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(the "“Agreement”") is entered into as of January 1, 2025 (the "“Effective Date”") by and between Acme Corporation, a Delaware corporation ("“Company”"), and Widget Consulting LLC, a California limited liability company ("“Service Provider”").</w:t>
      </w:r>
    </w:p>
    <w:p>
      <w:pPr>
        <w:pStyle w:val="Heading1"/>
      </w:pPr>
      <w:r>
        <w:t>1. Services</w:t>
      </w:r>
    </w:p>
    <w:p>
      <w:r>
        <w:t>Service Provider shall provide the services described in each Statement of Work ("“SOW”") executed by the parties. Each SOW shall describe the Deliverables, timeline, and fees for the applicable services. The Company shall provide Service Provider with reasonable access to Company systems and personnel as necessary for Service Provider to perform the services.</w:t>
      </w:r>
    </w:p>
    <w:p>
      <w:pPr>
        <w:pStyle w:val="Heading1"/>
      </w:pPr>
      <w:r>
        <w:t>2. Confidential Information</w:t>
      </w:r>
    </w:p>
    <w:p>
      <w:r>
        <w:t>"“Confidential Information”" means any non-public information disclosed by either party to the other party, whether orally or in writing, that is designated as confidential or that reasonably should be understood to be confidential. Confidential Information includes, without limitation, business plans, financial information, Intellectual Property, and trade secrets. The Receiving Party shall not disclose Confidential Information to any third party without the prior written consent of the Disclosing Party.</w:t>
      </w:r>
    </w:p>
    <w:p>
      <w:pPr>
        <w:pStyle w:val="Heading1"/>
      </w:pPr>
      <w:r>
        <w:t>3. Intellectual Property</w:t>
      </w:r>
    </w:p>
    <w:p>
      <w:r>
        <w:t>All Intellectual Property Rights in any Deliverables created by Service Provider under this Agreement shall be assigned to Company upon creation. "“Intellectual Property Rights”" means all patents, copyrights, trademarks, trade secrets, and other proprietary rights. Service Provider retains ownership of its Pre-Existing Materials.</w:t>
      </w:r>
    </w:p>
    <w:p>
      <w:pPr>
        <w:pStyle w:val="Heading1"/>
      </w:pPr>
      <w:r>
        <w:t>4. Dispute Resolution</w:t>
      </w:r>
    </w:p>
    <w:p>
      <w:r>
        <w:t>Any dispute arising out of or relating to this Agreement shall be resolved by binding arbitration administered by the American Arbitration Association under its Commercial Arbitration Rules (2013 edition). The arbitration shall take place in [City], [State]. The Governing Law of this Agreement shall be the laws of the State of Delaware.</w:t>
      </w:r>
    </w:p>
    <w:p>
      <w:pPr>
        <w:pStyle w:val="Heading1"/>
      </w:pPr>
      <w:r>
        <w:t>5. Term and Termination</w:t>
      </w:r>
    </w:p>
    <w:p>
      <w:r>
        <w:t>This Agreement shall commence on the Effective Date and continue for a period of twelve (12) months (the "“Initial Term”"). Either party may terminate this Agreement for cause upon thirty (30) days written notice. Upon termination, Service Provider shall return all Confidential Information to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