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rFonts w:ascii="Arial" w:cs="Arial" w:eastAsia="Arial" w:hAnsi="Arial"/>
          <w:b/>
          <w:bCs/>
          <w:color w:val="1B3A5C"/>
          <w:sz w:val="32"/>
          <w:szCs w:val="32"/>
        </w:rPr>
        <w:t xml:space="preserve">Seeker Management Platform (SMP)</w:t>
      </w:r>
    </w:p>
    <w:p>
      <w:pPr>
        <w:spacing w:after="140"/>
        <w:jc w:val="center"/>
      </w:pPr>
      <w:r>
        <w:rPr>
          <w:rFonts w:ascii="Arial" w:cs="Arial" w:eastAsia="Arial" w:hAnsi="Arial"/>
          <w:color w:val="555555"/>
          <w:sz w:val="18"/>
          <w:szCs w:val="18"/>
        </w:rPr>
        <w:t xml:space="preserve">System Definition  —  Army Tactical Network Management</w:t>
      </w:r>
    </w:p>
    <w:p>
      <w:pPr>
        <w:pStyle w:val="Heading2"/>
        <w:spacing w:after="60" w:before="160"/>
      </w:pPr>
      <w:r>
        <w:rPr>
          <w:rFonts w:ascii="Arial" w:cs="Arial" w:eastAsia="Arial" w:hAnsi="Arial"/>
          <w:b/>
          <w:bCs/>
          <w:color w:val="1B3A5C"/>
          <w:sz w:val="19"/>
          <w:szCs w:val="19"/>
        </w:rPr>
        <w:t xml:space="preserve">1. PURPOSE</w:t>
      </w:r>
    </w:p>
    <w:p>
      <w:pPr>
        <w:spacing w:after="80" w:line="230"/>
      </w:pPr>
      <w:r>
        <w:rPr>
          <w:rFonts w:ascii="Arial" w:cs="Arial" w:eastAsia="Arial" w:hAnsi="Arial"/>
          <w:color w:val="2D2D2D"/>
          <w:sz w:val="15"/>
          <w:szCs w:val="15"/>
        </w:rPr>
        <w:t xml:space="preserve">SMP is a centralized web-based platform that provides real-time visibility, monitoring, and operational control of 300+ distributed Seeker nodes across Army tactical networks. Built for DDIL (Denied, Degraded, Intermittent, Limited) environments, it enables network operators to monitor node health, visualize network topology, capture packet diagnostics (tcpdump/PCAP), manage configurations, and analyze traffic performance through a unified interface. SMP supports US Army CPE C2IN / PM C2 Transport and PM C2 Infrastructure operations.</w:t>
      </w:r>
    </w:p>
    <w:p>
      <w:pPr>
        <w:pStyle w:val="Heading2"/>
        <w:spacing w:after="60" w:before="160"/>
      </w:pPr>
      <w:r>
        <w:rPr>
          <w:rFonts w:ascii="Arial" w:cs="Arial" w:eastAsia="Arial" w:hAnsi="Arial"/>
          <w:b/>
          <w:bCs/>
          <w:color w:val="1B3A5C"/>
          <w:sz w:val="19"/>
          <w:szCs w:val="19"/>
        </w:rPr>
        <w:t xml:space="preserve">2. MANAGED NODE TYPES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7860"/>
      </w:tblGrid>
      <w:tr>
        <w:tc>
          <w:tcPr>
            <w:tcW w:type="dxa" w:w="2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tcPr>
          <w:p>
            <w:r>
              <w:rPr>
                <w:rFonts w:ascii="Arial" w:cs="Arial" w:eastAsia="Arial" w:hAnsi="Arial"/>
                <w:b/>
                <w:bCs/>
                <w:color w:val="FFFFFF"/>
                <w:sz w:val="16"/>
                <w:szCs w:val="16"/>
              </w:rPr>
              <w:t xml:space="preserve">Node Type</w:t>
            </w:r>
          </w:p>
        </w:tc>
        <w:tc>
          <w:tcPr>
            <w:tcW w:type="dxa" w:w="786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r>
      <w:tr>
        <w:tc>
          <w:tcPr>
            <w:tcW w:type="dxa" w:w="25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AN (Anchor Node)</w:t>
            </w:r>
          </w:p>
        </w:tc>
        <w:tc>
          <w:tcPr>
            <w:tcW w:type="dxa" w:w="78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Primary infrastructure nodes forming the network backbone. ANs are operator-managed, polled every 10s via Seeker API for config, stats, and routing data. Each AN has configurable ICMP ping monitoring (1–300s intervals), API credentials, and optional chart data collection.</w:t>
            </w:r>
          </w:p>
        </w:tc>
      </w:tr>
      <w:tr>
        <w:tc>
          <w:tcPr>
            <w:tcW w:type="dxa" w:w="25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DN (Discovered Node)</w:t>
            </w:r>
          </w:p>
        </w:tc>
        <w:tc>
          <w:tcPr>
            <w:tcW w:type="dxa" w:w="78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Dynamically discovered through tunnel/peer analysis of Anchor Nodes. DNs are auto-inventoried with parent attribution, probed for Seeker detail, and can be promoted to full Anchor Nodes by operators when API credentials are provided.</w:t>
            </w:r>
          </w:p>
        </w:tc>
      </w:tr>
    </w:tbl>
    <w:p>
      <w:pPr>
        <w:pStyle w:val="Heading2"/>
        <w:spacing w:after="60" w:before="160"/>
      </w:pPr>
      <w:r>
        <w:rPr>
          <w:rFonts w:ascii="Arial" w:cs="Arial" w:eastAsia="Arial" w:hAnsi="Arial"/>
          <w:b/>
          <w:bCs/>
          <w:color w:val="1B3A5C"/>
          <w:sz w:val="19"/>
          <w:szCs w:val="19"/>
        </w:rPr>
        <w:t xml:space="preserve">3. TECHNOLOGY STACK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7860"/>
      </w:tblGrid>
      <w:tr>
        <w:tc>
          <w:tcPr>
            <w:tcW w:type="dxa" w:w="25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tcPr>
          <w:p>
            <w:r>
              <w:rPr>
                <w:rFonts w:ascii="Arial" w:cs="Arial" w:eastAsia="Arial" w:hAnsi="Arial"/>
                <w:b/>
                <w:bCs/>
                <w:color w:val="FFFFFF"/>
                <w:sz w:val="16"/>
                <w:szCs w:val="16"/>
              </w:rPr>
              <w:t xml:space="preserve">Layer</w:t>
            </w:r>
          </w:p>
        </w:tc>
        <w:tc>
          <w:tcPr>
            <w:tcW w:type="dxa" w:w="786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tcPr>
          <w:p>
            <w:r>
              <w:rPr>
                <w:rFonts w:ascii="Arial" w:cs="Arial" w:eastAsia="Arial" w:hAnsi="Arial"/>
                <w:b/>
                <w:bCs/>
                <w:color w:val="FFFFFF"/>
                <w:sz w:val="16"/>
                <w:szCs w:val="16"/>
              </w:rPr>
              <w:t xml:space="preserve">Technology</w:t>
            </w:r>
          </w:p>
        </w:tc>
      </w:tr>
      <w:tr>
        <w:tc>
          <w:tcPr>
            <w:tcW w:type="dxa" w:w="25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Backend API</w:t>
            </w:r>
          </w:p>
        </w:tc>
        <w:tc>
          <w:tcPr>
            <w:tcW w:type="dxa" w:w="78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Python 3.11, FastAPI (fully async), SQLAlchemy 2.0 with Mapped[] type annotations, Pydantic schemas</w:t>
            </w:r>
          </w:p>
        </w:tc>
      </w:tr>
      <w:tr>
        <w:tc>
          <w:tcPr>
            <w:tcW w:type="dxa" w:w="25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Database</w:t>
            </w:r>
          </w:p>
        </w:tc>
        <w:tc>
          <w:tcPr>
            <w:tcW w:type="dxa" w:w="78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PostgreSQL 16, Alembic migration management (17 versioned migrations), async sessions via psycopg</w:t>
            </w:r>
          </w:p>
        </w:tc>
      </w:tr>
      <w:tr>
        <w:tc>
          <w:tcPr>
            <w:tcW w:type="dxa" w:w="25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Real-Time Layer</w:t>
            </w:r>
          </w:p>
        </w:tc>
        <w:tc>
          <w:tcPr>
            <w:tcW w:type="dxa" w:w="78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Redis 7 (pub/sub on 4 channels + key-value state cache with TTL), Server-Sent Events (SSE) with snapshot-on-connect</w:t>
            </w:r>
          </w:p>
        </w:tc>
      </w:tr>
      <w:tr>
        <w:tc>
          <w:tcPr>
            <w:tcW w:type="dxa" w:w="25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Frontend</w:t>
            </w:r>
          </w:p>
        </w:tc>
        <w:tc>
          <w:tcPr>
            <w:tcW w:type="dxa" w:w="78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Vanilla JavaScript (11K lines), HTML/CSS (5.6K lines), custom SVG/DOM topology canvas, Chart.js for analytics, Jinja2 templates (11 pages)</w:t>
            </w:r>
          </w:p>
        </w:tc>
      </w:tr>
      <w:tr>
        <w:tc>
          <w:tcPr>
            <w:tcW w:type="dxa" w:w="25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Deployment</w:t>
            </w:r>
          </w:p>
        </w:tc>
        <w:tc>
          <w:tcPr>
            <w:tcW w:type="dxa" w:w="78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Oracle Enterprise Linux 9, systemd service, TLS on port 8443, SELinux enforcement, firewalld, Docker/Compose option</w:t>
            </w:r>
          </w:p>
        </w:tc>
      </w:tr>
    </w:tbl>
    <w:p>
      <w:pPr>
        <w:pStyle w:val="Heading2"/>
        <w:spacing w:after="60" w:before="160"/>
      </w:pPr>
      <w:r>
        <w:rPr>
          <w:rFonts w:ascii="Arial" w:cs="Arial" w:eastAsia="Arial" w:hAnsi="Arial"/>
          <w:b/>
          <w:bCs/>
          <w:color w:val="1B3A5C"/>
          <w:sz w:val="19"/>
          <w:szCs w:val="19"/>
        </w:rPr>
        <w:t xml:space="preserve">4. CORE CAPABILITIES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100"/>
        <w:gridCol w:w="7260"/>
      </w:tblGrid>
      <w:tr>
        <w:tc>
          <w:tcPr>
            <w:tcW w:type="dxa" w:w="310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tcPr>
          <w:p>
            <w:r>
              <w:rPr>
                <w:rFonts w:ascii="Arial" w:cs="Arial" w:eastAsia="Arial" w:hAnsi="Arial"/>
                <w:b/>
                <w:bCs/>
                <w:color w:val="FFFFFF"/>
                <w:sz w:val="16"/>
                <w:szCs w:val="16"/>
              </w:rPr>
              <w:t xml:space="preserve">Capability</w:t>
            </w:r>
          </w:p>
        </w:tc>
        <w:tc>
          <w:tcPr>
            <w:tcW w:type="dxa" w:w="7260"/>
            <w:tcBorders>
              <w:top w:val="single" w:color="BBBBBB" w:sz="1"/>
              <w:left w:val="single" w:color="BBBBBB" w:sz="1"/>
              <w:bottom w:val="single" w:color="BBBBBB" w:sz="1"/>
              <w:right w:val="single" w:color="BBBBBB" w:sz="1"/>
            </w:tcBorders>
            <w:shd w:fill="1B3A5C" w:val="clear"/>
            <w:tcMar>
              <w:top w:type="dxa" w:w="50"/>
              <w:left w:type="dxa" w:w="80"/>
              <w:bottom w:type="dxa" w:w="50"/>
              <w:right w:type="dxa" w:w="80"/>
            </w:tcMar>
          </w:tcPr>
          <w:p>
            <w:r>
              <w:rPr>
                <w:rFonts w:ascii="Arial" w:cs="Arial" w:eastAsia="Arial" w:hAnsi="Arial"/>
                <w:b/>
                <w:bCs/>
                <w:color w:val="FFFFFF"/>
                <w:sz w:val="16"/>
                <w:szCs w:val="16"/>
              </w:rPr>
              <w:t xml:space="preserve">Implementation</w:t>
            </w:r>
          </w:p>
        </w:tc>
      </w:tr>
      <w:tr>
        <w:tc>
          <w:tcPr>
            <w:tcW w:type="dxa" w:w="31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Real-Time Monitoring</w:t>
            </w:r>
          </w:p>
        </w:tc>
        <w:tc>
          <w:tcPr>
            <w:tcW w:type="dxa" w:w="72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7 async background pollers (ping 5s, Seeker API 10s, services 30s, charts 60s). SSE pushes change-driven diffs to all connected browsers. Redis pub/sub distributes events across channels: node-updates, services, discovery, topology-structure.</w:t>
            </w:r>
          </w:p>
        </w:tc>
      </w:tr>
      <w:tr>
        <w:tc>
          <w:tcPr>
            <w:tcW w:type="dxa" w:w="31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Topology Visualization</w:t>
            </w:r>
          </w:p>
        </w:tc>
        <w:tc>
          <w:tcPr>
            <w:tcW w:type="dxa" w:w="72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Interactive SVG/DOM canvas with drag-to-position editing, custom link routing with configurable anchor points (N/NE/E/SE/S/SW/W/NW), hierarchical submaps per unit (AGG, DIV HQ, BCT), demo mode for presentations (all-up/all-down/mixed).</w:t>
            </w:r>
          </w:p>
        </w:tc>
      </w:tr>
      <w:tr>
        <w:tc>
          <w:tcPr>
            <w:tcW w:type="dxa" w:w="31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Auto-Discovery</w:t>
            </w:r>
          </w:p>
        </w:tc>
        <w:tc>
          <w:tcPr>
            <w:tcW w:type="dxa" w:w="72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Tunnel/peer analysis on Anchor Nodes automatically discovers and inventories DNs with parent attribution, location, unit, and version. Progressive site-name resolution runs on a separate 30s slow path to avoid blocking the critical polling loop.</w:t>
            </w:r>
          </w:p>
        </w:tc>
      </w:tr>
      <w:tr>
        <w:tc>
          <w:tcPr>
            <w:tcW w:type="dxa" w:w="31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Traffic Analytics</w:t>
            </w:r>
          </w:p>
        </w:tc>
        <w:tc>
          <w:tcPr>
            <w:tcW w:type="dxa" w:w="72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Per-second raw samples ingested from Seeker bwvChartStats endpoint, stored in chart_samples table. 5-minute bucket aggregation (min/max/avg) for user throughput, packet counts, WAN channels, and per-tunnel dual-axis charts (throughput + latency). PDF export.</w:t>
            </w:r>
          </w:p>
        </w:tc>
      </w:tr>
      <w:tr>
        <w:tc>
          <w:tcPr>
            <w:tcW w:type="dxa" w:w="31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Diagnostics</w:t>
            </w:r>
          </w:p>
        </w:tc>
        <w:tc>
          <w:tcPr>
            <w:tcW w:type="dxa" w:w="72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Server-side tcpdump/PCAP retrieval. Diagnostic console with runtime introspection codes (poller:status, cache:stats, db:pool, redis:status, node:detail, ping:detail). System health page with chart storage usage and per-node breakdowns.</w:t>
            </w:r>
          </w:p>
        </w:tc>
      </w:tr>
      <w:tr>
        <w:tc>
          <w:tcPr>
            <w:tcW w:type="dxa" w:w="31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Operational Maps</w:t>
            </w:r>
          </w:p>
        </w:tc>
        <w:tc>
          <w:tcPr>
            <w:tcW w:type="dxa" w:w="72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SNMPc-style authored maps with typed objects (node, submap, label), data bindings (status, badge, hover), connection points, and hierarchical canvas views. Full CRUD API with 15 endpoints for maps, objects, links, and bindings.</w:t>
            </w:r>
          </w:p>
        </w:tc>
      </w:tr>
      <w:tr>
        <w:tc>
          <w:tcPr>
            <w:tcW w:type="dxa" w:w="3100"/>
            <w:tcBorders>
              <w:top w:val="single" w:color="BBBBBB" w:sz="1"/>
              <w:left w:val="single" w:color="BBBBBB" w:sz="1"/>
              <w:bottom w:val="single" w:color="BBBBBB" w:sz="1"/>
              <w:right w:val="single" w:color="BBBBBB" w:sz="1"/>
            </w:tcBorders>
            <w:shd w:fill="F0F4F8" w:val="clear"/>
            <w:tcMar>
              <w:top w:type="dxa" w:w="50"/>
              <w:left w:type="dxa" w:w="80"/>
              <w:bottom w:type="dxa" w:w="50"/>
              <w:right w:type="dxa" w:w="80"/>
            </w:tcMar>
          </w:tcPr>
          <w:p>
            <w:r>
              <w:rPr>
                <w:rFonts w:ascii="Arial" w:cs="Arial" w:eastAsia="Arial" w:hAnsi="Arial"/>
                <w:b/>
                <w:bCs/>
                <w:color w:val="1B3A5C"/>
                <w:sz w:val="15"/>
                <w:szCs w:val="15"/>
              </w:rPr>
              <w:t xml:space="preserve">Multi-User &amp; RBAC</w:t>
            </w:r>
          </w:p>
        </w:tc>
        <w:tc>
          <w:tcPr>
            <w:tcW w:type="dxa" w:w="726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line="240"/>
            </w:pPr>
            <w:r>
              <w:rPr>
                <w:rFonts w:ascii="Arial" w:cs="Arial" w:eastAsia="Arial" w:hAnsi="Arial"/>
                <w:color w:val="2D2D2D"/>
                <w:sz w:val="15"/>
                <w:szCs w:val="15"/>
              </w:rPr>
              <w:t xml:space="preserve">Server-side shared state. Concurrent operator access with pinnable watchlists (nodes + services), drag-and-drop dashboard ordering persisted per-user, and role-based access control.</w:t>
            </w:r>
          </w:p>
        </w:tc>
      </w:tr>
    </w:tbl>
    <w:p>
      <w:pPr>
        <w:pStyle w:val="Heading2"/>
        <w:spacing w:after="60" w:before="160"/>
      </w:pPr>
      <w:r>
        <w:rPr>
          <w:rFonts w:ascii="Arial" w:cs="Arial" w:eastAsia="Arial" w:hAnsi="Arial"/>
          <w:b/>
          <w:bCs/>
          <w:color w:val="1B3A5C"/>
          <w:sz w:val="19"/>
          <w:szCs w:val="19"/>
        </w:rPr>
        <w:t xml:space="preserve">5. ARCHITECTURE</w:t>
      </w:r>
    </w:p>
    <w:p>
      <w:pPr>
        <w:spacing w:after="80" w:line="230"/>
      </w:pPr>
      <w:r>
        <w:rPr>
          <w:rFonts w:ascii="Arial" w:cs="Arial" w:eastAsia="Arial" w:hAnsi="Arial"/>
          <w:color w:val="2D2D2D"/>
          <w:sz w:val="15"/>
          <w:szCs w:val="15"/>
        </w:rPr>
        <w:t xml:space="preserve">SMP is a single-server application with four layers: (1) Background Pollers continuously collect node state via ICMP ping, Seeker REST API, and HTTP/DNS service checks, writing to in-memory caches. (2) State Manager dual-writes to Redis keys (with TTL expiry) and publishes change events to four Redis pub/sub channels. (3) FastAPI REST API serves 50+ endpoints across 10 route modules for CRUD operations, dashboard projections, topology payloads, and chart aggregation. (4) SSE Streaming endpoints deliver snapshot-on-connect plus live push updates to browser clients, with graceful fallback to 1s polling when Redis is unavailable.</w:t>
      </w:r>
    </w:p>
    <w:p>
      <w:pPr>
        <w:spacing w:after="80" w:line="230"/>
      </w:pPr>
      <w:r>
        <w:rPr>
          <w:rFonts w:ascii="Arial" w:cs="Arial" w:eastAsia="Arial" w:hAnsi="Arial"/>
          <w:color w:val="2D2D2D"/>
          <w:sz w:val="15"/>
          <w:szCs w:val="15"/>
        </w:rPr>
        <w:t xml:space="preserve">The database stores 14 tables across anchor nodes, discovered nodes, observations, relationships, topology links, editor state, operational maps (views, objects, links, bindings), service checks, and chart time-series samples. All database I/O is fully async via SQLAlchemy 2.0 AsyncSession. Redis is scoped strictly to real-time state externalization and pub/sub — it is not a general cache or session store.</w:t>
      </w:r>
    </w:p>
    <w:p>
      <w:pPr>
        <w:pStyle w:val="Heading2"/>
        <w:spacing w:after="60" w:before="160"/>
      </w:pPr>
      <w:r>
        <w:rPr>
          <w:rFonts w:ascii="Arial" w:cs="Arial" w:eastAsia="Arial" w:hAnsi="Arial"/>
          <w:b/>
          <w:bCs/>
          <w:color w:val="1B3A5C"/>
          <w:sz w:val="19"/>
          <w:szCs w:val="19"/>
        </w:rPr>
        <w:t xml:space="preserve">6. USER INTERFACE (11 PAGES)</w:t>
      </w:r>
    </w:p>
    <w:p>
      <w:pPr>
        <w:spacing w:after="80" w:line="230"/>
      </w:pPr>
      <w:r>
        <w:rPr>
          <w:rFonts w:ascii="Arial" w:cs="Arial" w:eastAsia="Arial" w:hAnsi="Arial"/>
          <w:color w:val="2D2D2D"/>
          <w:sz w:val="15"/>
          <w:szCs w:val="15"/>
        </w:rPr>
        <w:t xml:space="preserve">Main Dashboard (wallboard with pinned node/service watchlists, auto-refresh 10s–30min) | Node Dashboard (anchor + discovered node inventory with search, status badges, add/edit modals) | Node Detail (tunnels, channels, static/learnt routes, SSH/Web launch) | Services (URL + DNS check CRUD with live status) | Services Dashboard (summary chips: total/healthy/degraded/failed) | Topology (interactive canvas with edit mode, link editor, submaps, demo mode, full-screen) | Discovery (discovered node listing with promotion workflow) | Charts (user throughput, packet counts, WAN channel, per-tunnel dual-axis charts with 1hr–7d ranges, envelope/smooth toggle, PDF export) | Health (chart storage, poller status, diagnostic console) | Index (platform status splash).</w:t>
      </w:r>
    </w:p>
    <w:p>
      <w:pPr>
        <w:pStyle w:val="Heading2"/>
        <w:spacing w:after="60" w:before="160"/>
      </w:pPr>
      <w:r>
        <w:rPr>
          <w:rFonts w:ascii="Arial" w:cs="Arial" w:eastAsia="Arial" w:hAnsi="Arial"/>
          <w:b/>
          <w:bCs/>
          <w:color w:val="1B3A5C"/>
          <w:sz w:val="19"/>
          <w:szCs w:val="19"/>
        </w:rPr>
        <w:t xml:space="preserve">7. OPERATIONAL CONTEXT</w:t>
      </w:r>
    </w:p>
    <w:p>
      <w:pPr>
        <w:spacing w:after="80" w:line="230"/>
      </w:pPr>
      <w:r>
        <w:rPr>
          <w:rFonts w:ascii="Arial" w:cs="Arial" w:eastAsia="Arial" w:hAnsi="Arial"/>
          <w:color w:val="2D2D2D"/>
          <w:sz w:val="15"/>
          <w:szCs w:val="15"/>
        </w:rPr>
        <w:t xml:space="preserve">SMP integrates with Bandwidth Virtualization (BV) software-defined networking infrastructure, polling Seeker node APIs for configuration, statistics, tunnel/channel status, and learnt routes. Designed for tactical environments with unreliable connectivity, the platform prioritizes operator efficiency through dense data displays, rapid status assessment, real-time push updates, and minimal interaction overhead for time-critical network management across 300+ geographically distributed nodes organized by military units (AGG, DIV HQ, 1BCT, 2BCT, 3BCT).</w:t>
      </w:r>
    </w:p>
    <w:sectPr>
      <w:headerReference w:type="default" r:id="rId7"/>
      <w:footerReference w:type="default" r:id="rId8"/>
      <w:pgSz w:w="12240" w:h="15840" w:orient="portrait"/>
      <w:pgMar w:top="620" w:right="940" w:bottom="58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3"/>
      </w:pBdr>
      <w:tabs>
        <w:tab w:val="right" w:pos="9026"/>
      </w:tabs>
      <w:spacing w:before="0"/>
    </w:pPr>
    <w:r>
      <w:rPr>
        <w:rFonts w:ascii="Arial" w:cs="Arial" w:eastAsia="Arial" w:hAnsi="Arial"/>
        <w:color w:val="555555"/>
        <w:sz w:val="13"/>
        <w:szCs w:val="13"/>
      </w:rPr>
      <w:t xml:space="preserve">Aroxx Systems  |  April 2026  |  v0.10</w:t>
    </w:r>
    <w:r>
      <w:rPr>
        <w:rFonts w:ascii="Arial" w:cs="Arial" w:eastAsia="Arial" w:hAnsi="Arial"/>
        <w:color w:val="555555"/>
        <w:sz w:val="13"/>
        <w:szCs w:val="13"/>
      </w:rPr>
      <w:t xml:space="preserve">	Page </w:t>
    </w:r>
    <w:r>
      <w:rPr>
        <w:rFonts w:ascii="Arial" w:cs="Arial" w:eastAsia="Arial" w:hAnsi="Arial"/>
        <w:color w:val="555555"/>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3"/>
      </w:pBdr>
      <w:tabs>
        <w:tab w:val="right" w:pos="9026"/>
      </w:tabs>
      <w:spacing w:after="0"/>
    </w:pPr>
    <w:r>
      <w:rPr>
        <w:rFonts w:ascii="Arial" w:cs="Arial" w:eastAsia="Arial" w:hAnsi="Arial"/>
        <w:b/>
        <w:bCs/>
        <w:color w:val="1B3A5C"/>
        <w:sz w:val="16"/>
        <w:szCs w:val="16"/>
      </w:rPr>
      <w:t xml:space="preserve">SEEKER MANAGEMENT PLATFORM (SMP)</w:t>
    </w:r>
    <w:r>
      <w:rPr>
        <w:rFonts w:ascii="Arial" w:cs="Arial" w:eastAsia="Arial" w:hAnsi="Arial"/>
        <w:color w:val="555555"/>
        <w:sz w:val="16"/>
        <w:szCs w:val="16"/>
      </w:rPr>
      <w:t xml:space="preserve">	System Definition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Arial" w:cs="Arial" w:eastAsia="Arial" w:hAnsi="Arial"/>
      <w:b/>
      <w:bCs/>
      <w:color w:val="1B3A5C"/>
      <w:sz w:val="24"/>
      <w:szCs w:val="24"/>
    </w:rPr>
  </w:style>
  <w:style w:type="paragraph" w:styleId="Heading2">
    <w:name w:val="Heading 2"/>
    <w:basedOn w:val="Normal"/>
    <w:next w:val="Normal"/>
    <w:qFormat/>
    <w:pPr>
      <w:spacing w:after="40" w:before="140"/>
      <w:outlineLvl w:val="1"/>
    </w:pPr>
    <w:rPr>
      <w:rFonts w:ascii="Arial" w:cs="Arial" w:eastAsia="Arial" w:hAnsi="Arial"/>
      <w:b/>
      <w:bCs/>
      <w:color w:val="2E75B6"/>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2026-04-10T01:00:11.859Z</dcterms:created>
  <dcterms:modified xsi:type="dcterms:W3CDTF">2026-04-10T01:00:11.859Z</dcterms:modified>
</cp:coreProperties>
</file>

<file path=docProps/custom.xml><?xml version="1.0" encoding="utf-8"?>
<Properties xmlns="http://schemas.openxmlformats.org/officeDocument/2006/custom-properties" xmlns:vt="http://schemas.openxmlformats.org/officeDocument/2006/docPropsVTypes"/>
</file>