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C7CD2" w14:textId="77777777" w:rsidR="004721A8" w:rsidRPr="00BA0028" w:rsidRDefault="004721A8" w:rsidP="004721A8">
      <w:pPr>
        <w:spacing w:line="480" w:lineRule="auto"/>
        <w:rPr>
          <w:b/>
          <w:bCs/>
          <w:szCs w:val="22"/>
        </w:rPr>
      </w:pPr>
      <w:r>
        <w:rPr>
          <w:b/>
          <w:bCs/>
          <w:szCs w:val="22"/>
        </w:rPr>
        <w:t>Supplementary Methods</w:t>
      </w:r>
    </w:p>
    <w:p w14:paraId="4C4D48D9" w14:textId="77777777" w:rsidR="004721A8" w:rsidRPr="00BA0028" w:rsidRDefault="004721A8" w:rsidP="004721A8">
      <w:pPr>
        <w:spacing w:line="480" w:lineRule="auto"/>
        <w:rPr>
          <w:szCs w:val="22"/>
        </w:rPr>
      </w:pPr>
      <w:r w:rsidRPr="00BA0028">
        <w:rPr>
          <w:i/>
          <w:szCs w:val="22"/>
        </w:rPr>
        <w:t>Primary macrophage culture</w:t>
      </w:r>
      <w:r w:rsidRPr="00BA0028">
        <w:rPr>
          <w:szCs w:val="22"/>
        </w:rPr>
        <w:t> </w:t>
      </w:r>
    </w:p>
    <w:p w14:paraId="4BF08E63" w14:textId="77777777" w:rsidR="004721A8" w:rsidRPr="00BA0028" w:rsidRDefault="004721A8" w:rsidP="004721A8">
      <w:pPr>
        <w:spacing w:line="480" w:lineRule="auto"/>
        <w:ind w:firstLine="720"/>
        <w:rPr>
          <w:szCs w:val="22"/>
        </w:rPr>
      </w:pPr>
      <w:r w:rsidRPr="00BA0028">
        <w:rPr>
          <w:szCs w:val="22"/>
        </w:rPr>
        <w:t xml:space="preserve">Canine </w:t>
      </w:r>
      <w:r>
        <w:rPr>
          <w:szCs w:val="22"/>
        </w:rPr>
        <w:t>PBMCs</w:t>
      </w:r>
      <w:r w:rsidRPr="00BA0028">
        <w:rPr>
          <w:szCs w:val="22"/>
        </w:rPr>
        <w:t xml:space="preserve"> </w:t>
      </w:r>
      <w:proofErr w:type="gramStart"/>
      <w:r w:rsidRPr="00BA0028">
        <w:rPr>
          <w:szCs w:val="22"/>
        </w:rPr>
        <w:t>were</w:t>
      </w:r>
      <w:proofErr w:type="gramEnd"/>
      <w:r w:rsidRPr="00BA0028">
        <w:rPr>
          <w:szCs w:val="22"/>
        </w:rPr>
        <w:t xml:space="preserve"> isolated using lymphocyte separation media (Corning) according to the manufacturer’s instructions from donors presented as patients to the </w:t>
      </w:r>
      <w:r>
        <w:rPr>
          <w:szCs w:val="22"/>
        </w:rPr>
        <w:t>FACC</w:t>
      </w:r>
      <w:r w:rsidRPr="00BA0028">
        <w:rPr>
          <w:szCs w:val="22"/>
        </w:rPr>
        <w:t xml:space="preserve"> with owner’s consent and under an approved Colorado State University Clinical Review Board protocol. </w:t>
      </w:r>
      <w:r>
        <w:rPr>
          <w:szCs w:val="22"/>
        </w:rPr>
        <w:t>PBMC</w:t>
      </w:r>
      <w:r w:rsidRPr="00BA0028">
        <w:rPr>
          <w:szCs w:val="22"/>
        </w:rPr>
        <w:t xml:space="preserve">s were plated in </w:t>
      </w:r>
      <w:r>
        <w:rPr>
          <w:szCs w:val="22"/>
        </w:rPr>
        <w:t>R20</w:t>
      </w:r>
      <w:r w:rsidRPr="00BA0028">
        <w:rPr>
          <w:szCs w:val="22"/>
        </w:rPr>
        <w:t xml:space="preserve"> and left to adhere overnight, after which the media with non-adherent cells were discarded</w:t>
      </w:r>
      <w:r>
        <w:rPr>
          <w:szCs w:val="22"/>
        </w:rPr>
        <w:t>.</w:t>
      </w:r>
      <w:r w:rsidRPr="00BA0028">
        <w:rPr>
          <w:szCs w:val="22"/>
        </w:rPr>
        <w:t xml:space="preserve"> Monocytes were maintained in </w:t>
      </w:r>
      <w:r>
        <w:rPr>
          <w:szCs w:val="22"/>
        </w:rPr>
        <w:t>R20</w:t>
      </w:r>
      <w:r w:rsidRPr="00BA0028">
        <w:rPr>
          <w:szCs w:val="22"/>
        </w:rPr>
        <w:t xml:space="preserve"> with 40 ng/µL </w:t>
      </w:r>
      <w:r>
        <w:rPr>
          <w:szCs w:val="22"/>
        </w:rPr>
        <w:t xml:space="preserve">human </w:t>
      </w:r>
      <w:r w:rsidRPr="00BA0028">
        <w:rPr>
          <w:szCs w:val="22"/>
        </w:rPr>
        <w:t>M-CSF</w:t>
      </w:r>
      <w:r>
        <w:rPr>
          <w:szCs w:val="22"/>
        </w:rPr>
        <w:t xml:space="preserve"> (</w:t>
      </w:r>
      <w:proofErr w:type="spellStart"/>
      <w:r w:rsidRPr="00BA0028">
        <w:rPr>
          <w:szCs w:val="22"/>
        </w:rPr>
        <w:t>Peprotech</w:t>
      </w:r>
      <w:proofErr w:type="spellEnd"/>
      <w:r w:rsidRPr="00BA0028">
        <w:rPr>
          <w:szCs w:val="22"/>
        </w:rPr>
        <w:t xml:space="preserve"> Inc., Cranbury, </w:t>
      </w:r>
      <w:proofErr w:type="gramStart"/>
      <w:r w:rsidRPr="00BA0028">
        <w:rPr>
          <w:szCs w:val="22"/>
        </w:rPr>
        <w:t>NJ</w:t>
      </w:r>
      <w:r>
        <w:rPr>
          <w:szCs w:val="22"/>
        </w:rPr>
        <w:t xml:space="preserve">, </w:t>
      </w:r>
      <w:r w:rsidRPr="00F948A5">
        <w:rPr>
          <w:b/>
          <w:bCs/>
          <w:szCs w:val="22"/>
        </w:rPr>
        <w:t>#</w:t>
      </w:r>
      <w:proofErr w:type="gramEnd"/>
      <w:r w:rsidRPr="00F948A5">
        <w:rPr>
          <w:szCs w:val="22"/>
        </w:rPr>
        <w:t>300-25</w:t>
      </w:r>
      <w:r w:rsidRPr="00BA0028">
        <w:rPr>
          <w:szCs w:val="22"/>
        </w:rPr>
        <w:t>) for 7 days, with a 50% medi</w:t>
      </w:r>
      <w:r>
        <w:rPr>
          <w:szCs w:val="22"/>
        </w:rPr>
        <w:t>a</w:t>
      </w:r>
      <w:r w:rsidRPr="00BA0028">
        <w:rPr>
          <w:szCs w:val="22"/>
        </w:rPr>
        <w:t xml:space="preserve"> change every 2-3 days. For the primary TCM polarization experiment, three donors were used, and the blood from each donor was split into 25 wells. After seven days of differentiation, each well was treated with a different TCM at a ratio of 70% TCM to 30% R10, and two control wells were treated with 70% D10 to 30% R10 for 24 h. After 24 h, three phosphate-buffered saline (PBS, Corning) washes were performed and 600 µL of R10 was added. After 24 h, supernatants were collected for analysis. In parallel, control wells without cells but otherwise treated similarly were </w:t>
      </w:r>
      <w:r>
        <w:rPr>
          <w:szCs w:val="22"/>
        </w:rPr>
        <w:t>processed</w:t>
      </w:r>
      <w:r w:rsidRPr="00BA0028">
        <w:rPr>
          <w:szCs w:val="22"/>
        </w:rPr>
        <w:t xml:space="preserve"> to demonstrate that the PBS washes fully removed all traces of TCM, verifying that only </w:t>
      </w:r>
      <w:r>
        <w:rPr>
          <w:szCs w:val="22"/>
        </w:rPr>
        <w:t>proteins in</w:t>
      </w:r>
      <w:r w:rsidRPr="00BA0028">
        <w:rPr>
          <w:szCs w:val="22"/>
        </w:rPr>
        <w:t xml:space="preserve"> macrophage supernatants were being measured.</w:t>
      </w:r>
    </w:p>
    <w:p w14:paraId="669358D5" w14:textId="77777777" w:rsidR="004721A8" w:rsidRPr="00BA0028" w:rsidRDefault="004721A8" w:rsidP="004721A8">
      <w:pPr>
        <w:spacing w:line="480" w:lineRule="auto"/>
        <w:rPr>
          <w:szCs w:val="22"/>
        </w:rPr>
      </w:pPr>
      <w:r w:rsidRPr="00BA0028">
        <w:rPr>
          <w:i/>
          <w:szCs w:val="22"/>
        </w:rPr>
        <w:t>Cytokine analysis of cell supernatants</w:t>
      </w:r>
      <w:r w:rsidRPr="00BA0028">
        <w:rPr>
          <w:szCs w:val="22"/>
        </w:rPr>
        <w:t xml:space="preserve"> </w:t>
      </w:r>
    </w:p>
    <w:p w14:paraId="3DC3E0A9" w14:textId="77777777" w:rsidR="004721A8" w:rsidRPr="00BA0028" w:rsidRDefault="004721A8" w:rsidP="004721A8">
      <w:pPr>
        <w:spacing w:line="480" w:lineRule="auto"/>
        <w:ind w:firstLine="720"/>
        <w:rPr>
          <w:szCs w:val="22"/>
        </w:rPr>
      </w:pPr>
      <w:r w:rsidRPr="00BA0028">
        <w:rPr>
          <w:szCs w:val="22"/>
        </w:rPr>
        <w:t xml:space="preserve">The concentrations of </w:t>
      </w:r>
      <w:r>
        <w:rPr>
          <w:szCs w:val="22"/>
        </w:rPr>
        <w:t xml:space="preserve">CCL2, VEGF, </w:t>
      </w:r>
      <w:r w:rsidRPr="00BA0028">
        <w:rPr>
          <w:szCs w:val="22"/>
        </w:rPr>
        <w:t xml:space="preserve">TGF-β, TNF-α, and CCL3 were measured using commercially available </w:t>
      </w:r>
      <w:r>
        <w:rPr>
          <w:szCs w:val="22"/>
        </w:rPr>
        <w:t>ELISA</w:t>
      </w:r>
      <w:r w:rsidRPr="00BA0028">
        <w:rPr>
          <w:szCs w:val="22"/>
        </w:rPr>
        <w:t xml:space="preserve"> kits (R&amp;D Systems Inc.: DY1774 [CCL2], DY1603 [VEGF], DY240 [TGF-β], and DY1507 [TNF-α]; Kingfisher: DIY1367D [CCL3]). In addition, a 13-plex canine cytokine/chemokine panel (MILLIPLEX®, </w:t>
      </w:r>
      <w:proofErr w:type="spellStart"/>
      <w:r w:rsidRPr="00BA0028">
        <w:rPr>
          <w:szCs w:val="22"/>
        </w:rPr>
        <w:t>MilliporeSigma</w:t>
      </w:r>
      <w:proofErr w:type="spellEnd"/>
      <w:r w:rsidRPr="00BA0028">
        <w:rPr>
          <w:szCs w:val="22"/>
        </w:rPr>
        <w:t xml:space="preserve">, Burlington, MA) was used for multiplex analysis following the manufacturer’s protocol. The panel measures interferon-gamma (IFN-γ), CCL2, interleukin-8 (IL-8), IL-10, IL-2, IL-6, keratinocyte chemoattractant-like chemokine (KC-like), IL-18, TNF-α, IL-7, interferon gamma-induced protein 10 (IP-10), IL-15, and granulocyte-macrophage colony-stimulating factor (GM-CSF). Data acquisition was performed on a Luminex® </w:t>
      </w:r>
      <w:proofErr w:type="spellStart"/>
      <w:r w:rsidRPr="00BA0028">
        <w:rPr>
          <w:szCs w:val="22"/>
        </w:rPr>
        <w:t>MagPix</w:t>
      </w:r>
      <w:proofErr w:type="spellEnd"/>
      <w:r w:rsidRPr="00BA0028">
        <w:rPr>
          <w:szCs w:val="22"/>
        </w:rPr>
        <w:t xml:space="preserve"> system with quality control and initial data processing using the Luminex </w:t>
      </w:r>
      <w:proofErr w:type="spellStart"/>
      <w:r w:rsidRPr="00BA0028">
        <w:rPr>
          <w:szCs w:val="22"/>
        </w:rPr>
        <w:t>xPONENT</w:t>
      </w:r>
      <w:proofErr w:type="spellEnd"/>
      <w:r w:rsidRPr="00BA0028">
        <w:rPr>
          <w:szCs w:val="22"/>
        </w:rPr>
        <w:t xml:space="preserve">® software. The processed data were exported for further statistical analysis using GraphPad Prism v9** (GraphPad Software, Boston, </w:t>
      </w:r>
      <w:r w:rsidRPr="00BA0028">
        <w:rPr>
          <w:szCs w:val="22"/>
        </w:rPr>
        <w:lastRenderedPageBreak/>
        <w:t>MA, USA) and R (R Studio).</w:t>
      </w:r>
      <w:sdt>
        <w:sdtPr>
          <w:rPr>
            <w:color w:val="000000"/>
            <w:szCs w:val="22"/>
            <w:vertAlign w:val="superscript"/>
          </w:rPr>
          <w:tag w:val="MENDELEY_CITATION_v3_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"/>
          <w:id w:val="-1657518418"/>
          <w:placeholder>
            <w:docPart w:val="BF4546B7F41E497EAFD42FD540C8D807"/>
          </w:placeholder>
        </w:sdtPr>
        <w:sdtContent>
          <w:r w:rsidRPr="0037417A">
            <w:rPr>
              <w:color w:val="000000"/>
              <w:szCs w:val="22"/>
              <w:vertAlign w:val="superscript"/>
            </w:rPr>
            <w:t>49</w:t>
          </w:r>
        </w:sdtContent>
      </w:sdt>
      <w:r w:rsidRPr="00BA0028">
        <w:rPr>
          <w:szCs w:val="22"/>
        </w:rPr>
        <w:t xml:space="preserve"> Of the 13 analytes in the multiplex panel, eight (IL-15, IFN-γ, IL-2, IL-6, IL-7, IP-10, IL-18, and GM-CSF) were below the </w:t>
      </w:r>
      <w:proofErr w:type="spellStart"/>
      <w:r>
        <w:rPr>
          <w:szCs w:val="22"/>
        </w:rPr>
        <w:t>LLoQ</w:t>
      </w:r>
      <w:proofErr w:type="spellEnd"/>
      <w:r w:rsidRPr="00BA0028">
        <w:rPr>
          <w:szCs w:val="22"/>
        </w:rPr>
        <w:t xml:space="preserve"> in most samples and excluded from further analysis to avoid overinterpretation. Almost all conditions induced markedly high levels of CCL2 in macrophages, exceeding the upper limit of detection in the multiplex assay and requiring 150x dilution for accurate quantification by ELISA.</w:t>
      </w:r>
    </w:p>
    <w:p w14:paraId="1E8E81D9" w14:textId="77777777" w:rsidR="004721A8" w:rsidRPr="00BA0028" w:rsidRDefault="004721A8" w:rsidP="004721A8">
      <w:pPr>
        <w:spacing w:line="480" w:lineRule="auto"/>
        <w:rPr>
          <w:szCs w:val="22"/>
        </w:rPr>
      </w:pPr>
      <w:r w:rsidRPr="00BA0028">
        <w:rPr>
          <w:i/>
          <w:szCs w:val="22"/>
        </w:rPr>
        <w:t>RNA-sequencing and analysis</w:t>
      </w:r>
    </w:p>
    <w:p w14:paraId="5C181C20" w14:textId="77777777" w:rsidR="004721A8" w:rsidRPr="001B4D5B" w:rsidRDefault="004721A8" w:rsidP="004721A8">
      <w:pPr>
        <w:spacing w:line="480" w:lineRule="auto"/>
        <w:ind w:firstLine="720"/>
        <w:rPr>
          <w:b/>
          <w:bCs/>
          <w:szCs w:val="22"/>
        </w:rPr>
      </w:pPr>
      <w:r w:rsidRPr="00BA0028">
        <w:rPr>
          <w:szCs w:val="22"/>
        </w:rPr>
        <w:t>Bulk-RNA sequencing (RNA-seq) of the canine cell lines used in this study was performed by investigators at the FACC as previously described.</w:t>
      </w:r>
      <w:sdt>
        <w:sdtPr>
          <w:rPr>
            <w:color w:val="000000"/>
            <w:szCs w:val="22"/>
            <w:vertAlign w:val="superscript"/>
          </w:rPr>
          <w:tag w:val="MENDELEY_CITATION_v3_eyJjaXRhdGlvbklEIjoiTUVOREVMRVlfQ0lUQVRJT05fN2M2MjVmM2ItZTM2NS00Njk4LTkwOWMtZGVjOGI0YzAzOWE0IiwicHJvcGVydGllcyI6eyJub3RlSW5kZXgiOjB9LCJpc0VkaXRlZCI6ZmFsc2UsIm1hbnVhbE92ZXJyaWRlIjp7ImlzTWFudWFsbHlPdmVycmlkZGVuIjpmYWxzZSwiY2l0ZXByb2NUZXh0IjoiPHN1cD4yND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4988329"/>
          <w:placeholder>
            <w:docPart w:val="5BCCE8F282564C18972F1F156302C762"/>
          </w:placeholder>
        </w:sdtPr>
        <w:sdtContent>
          <w:r w:rsidRPr="004E3E16">
            <w:rPr>
              <w:color w:val="000000"/>
              <w:szCs w:val="22"/>
              <w:vertAlign w:val="superscript"/>
            </w:rPr>
            <w:t>24</w:t>
          </w:r>
        </w:sdtContent>
      </w:sdt>
      <w:r w:rsidRPr="00BA0028">
        <w:rPr>
          <w:szCs w:val="22"/>
        </w:rPr>
        <w:t xml:space="preserve"> We were provided raw read counts, transcripts per million (TPM)-normalized counts, and Removed Unwanted Variation (RUV) method-derived normalized counts, specifically </w:t>
      </w:r>
      <w:proofErr w:type="spellStart"/>
      <w:r w:rsidRPr="00BA0028">
        <w:rPr>
          <w:szCs w:val="22"/>
        </w:rPr>
        <w:t>RUVg</w:t>
      </w:r>
      <w:proofErr w:type="spellEnd"/>
      <w:r w:rsidRPr="00BA0028">
        <w:rPr>
          <w:szCs w:val="22"/>
        </w:rPr>
        <w:t>, in which unwanted variations were removed using a set of control genes.</w:t>
      </w:r>
      <w:sdt>
        <w:sdtPr>
          <w:rPr>
            <w:color w:val="000000"/>
            <w:szCs w:val="22"/>
            <w:vertAlign w:val="superscript"/>
          </w:rPr>
          <w:tag w:val="MENDELEY_CITATION_v3_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"/>
          <w:id w:val="-1060010719"/>
          <w:placeholder>
            <w:docPart w:val="5BCCE8F282564C18972F1F156302C762"/>
          </w:placeholder>
        </w:sdtPr>
        <w:sdtContent>
          <w:r w:rsidRPr="0037417A">
            <w:rPr>
              <w:color w:val="000000"/>
              <w:szCs w:val="22"/>
              <w:vertAlign w:val="superscript"/>
            </w:rPr>
            <w:t>50</w:t>
          </w:r>
        </w:sdtContent>
      </w:sdt>
      <w:r w:rsidRPr="00BA0028">
        <w:rPr>
          <w:szCs w:val="22"/>
        </w:rPr>
        <w:t xml:space="preserve"> For correlational analyses, we used both the </w:t>
      </w:r>
      <w:proofErr w:type="spellStart"/>
      <w:r w:rsidRPr="00BA0028">
        <w:rPr>
          <w:szCs w:val="22"/>
        </w:rPr>
        <w:t>RUVg</w:t>
      </w:r>
      <w:proofErr w:type="spellEnd"/>
      <w:r w:rsidRPr="00BA0028">
        <w:rPr>
          <w:szCs w:val="22"/>
        </w:rPr>
        <w:t xml:space="preserve">‐normalized counts and TPM-normalized counts and computed Spearman’s rank correlations between each gene’s expression and each cytokine’s modified Z-score. </w:t>
      </w:r>
      <w:r w:rsidRPr="0037417A">
        <w:rPr>
          <w:szCs w:val="22"/>
        </w:rPr>
        <w:t xml:space="preserve">Raw </w:t>
      </w:r>
      <w:r w:rsidRPr="0037417A">
        <w:rPr>
          <w:i/>
          <w:iCs/>
          <w:szCs w:val="22"/>
        </w:rPr>
        <w:t>p</w:t>
      </w:r>
      <w:r w:rsidRPr="0037417A">
        <w:rPr>
          <w:szCs w:val="22"/>
        </w:rPr>
        <w:t xml:space="preserve">-values were adjusted for multiple testing using both the </w:t>
      </w:r>
      <w:proofErr w:type="spellStart"/>
      <w:r w:rsidRPr="0037417A">
        <w:rPr>
          <w:szCs w:val="22"/>
        </w:rPr>
        <w:t>FDRtool</w:t>
      </w:r>
      <w:proofErr w:type="spellEnd"/>
      <w:r w:rsidRPr="0037417A">
        <w:rPr>
          <w:szCs w:val="22"/>
        </w:rPr>
        <w:t xml:space="preserve"> R package and the Benjamini-Hochberg method</w:t>
      </w:r>
      <w:r w:rsidRPr="00BA0028">
        <w:rPr>
          <w:szCs w:val="22"/>
        </w:rPr>
        <w:t xml:space="preserve">. To identify genes that were differentially expressed, we categorized “high” versus “low” macrophage stimulators, identified by the top and bottom quartiles of the modified z-score, or, in one case, by the ratio of the modified z-score between two analytes. We then used DESeq2 in the raw count matrix. Initially, this was performed on the unfiltered data to capture any biologically relevant but low-count candidates (i.e., </w:t>
      </w:r>
      <w:r w:rsidRPr="00BA0028">
        <w:rPr>
          <w:i/>
          <w:iCs/>
          <w:szCs w:val="22"/>
        </w:rPr>
        <w:t>CCL3</w:t>
      </w:r>
      <w:r w:rsidRPr="00BA0028">
        <w:rPr>
          <w:szCs w:val="22"/>
        </w:rPr>
        <w:t xml:space="preserve">). Ultimately, for all results except </w:t>
      </w:r>
      <w:r>
        <w:rPr>
          <w:szCs w:val="22"/>
        </w:rPr>
        <w:t xml:space="preserve">for </w:t>
      </w:r>
      <w:r w:rsidRPr="00797A9E">
        <w:rPr>
          <w:i/>
          <w:iCs/>
          <w:szCs w:val="22"/>
        </w:rPr>
        <w:t>CCL3</w:t>
      </w:r>
      <w:r w:rsidRPr="00BA0028">
        <w:rPr>
          <w:szCs w:val="22"/>
        </w:rPr>
        <w:t xml:space="preserve">, genes with low counts (&lt; 3 raw counts or detected in fewer than half of the samples under analysis) were filtered out, DESeq2 internal size‐factor normalization was applied, and the </w:t>
      </w:r>
      <w:proofErr w:type="spellStart"/>
      <w:r w:rsidRPr="00BA0028">
        <w:rPr>
          <w:szCs w:val="22"/>
        </w:rPr>
        <w:t>DESeq</w:t>
      </w:r>
      <w:proofErr w:type="spellEnd"/>
      <w:r w:rsidRPr="00BA0028">
        <w:rPr>
          <w:szCs w:val="22"/>
        </w:rPr>
        <w:t xml:space="preserve"> workflow was used to fit the negative binomial models. We applied log2-fold-change shrinkage using the </w:t>
      </w:r>
      <w:proofErr w:type="spellStart"/>
      <w:r w:rsidRPr="00BA0028">
        <w:rPr>
          <w:i/>
          <w:szCs w:val="22"/>
        </w:rPr>
        <w:t>ashr</w:t>
      </w:r>
      <w:proofErr w:type="spellEnd"/>
      <w:r w:rsidRPr="00BA0028">
        <w:rPr>
          <w:szCs w:val="22"/>
        </w:rPr>
        <w:t xml:space="preserve"> method.</w:t>
      </w:r>
      <w:sdt>
        <w:sdtPr>
          <w:rPr>
            <w:color w:val="000000"/>
            <w:szCs w:val="22"/>
            <w:vertAlign w:val="superscript"/>
          </w:rPr>
          <w:tag w:val="MENDELEY_CITATION_v3_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"/>
          <w:id w:val="1164595203"/>
          <w:placeholder>
            <w:docPart w:val="5BCCE8F282564C18972F1F156302C762"/>
          </w:placeholder>
        </w:sdtPr>
        <w:sdtContent>
          <w:r w:rsidRPr="0037417A">
            <w:rPr>
              <w:color w:val="000000"/>
              <w:szCs w:val="22"/>
              <w:vertAlign w:val="superscript"/>
            </w:rPr>
            <w:t>51</w:t>
          </w:r>
        </w:sdtContent>
      </w:sdt>
      <w:r w:rsidRPr="00BA0028">
        <w:rPr>
          <w:szCs w:val="22"/>
        </w:rPr>
        <w:t xml:space="preserve"> Genes with absolute values of log₂(fold‐change) </w:t>
      </w:r>
      <m:oMath>
        <m:r>
          <w:rPr>
            <w:rFonts w:ascii="Cambria Math" w:hAnsi="Cambria Math"/>
            <w:szCs w:val="22"/>
          </w:rPr>
          <m:t>≥</m:t>
        </m:r>
      </m:oMath>
      <w:r w:rsidRPr="00BA0028">
        <w:rPr>
          <w:szCs w:val="22"/>
        </w:rPr>
        <w:t xml:space="preserve"> 1 and a Benjamini–Hochberg (BH)-adjusted </w:t>
      </w:r>
      <w:r w:rsidRPr="00BA0028">
        <w:rPr>
          <w:i/>
          <w:szCs w:val="22"/>
        </w:rPr>
        <w:t>p</w:t>
      </w:r>
      <w:r w:rsidRPr="00BA0028">
        <w:rPr>
          <w:szCs w:val="22"/>
        </w:rPr>
        <w:t xml:space="preserve">‐value </w:t>
      </w:r>
      <m:oMath>
        <m:r>
          <w:rPr>
            <w:rFonts w:ascii="Cambria Math" w:hAnsi="Cambria Math"/>
            <w:szCs w:val="22"/>
          </w:rPr>
          <m:t>≤</m:t>
        </m:r>
      </m:oMath>
      <w:r w:rsidRPr="00BA0028">
        <w:rPr>
          <w:szCs w:val="22"/>
        </w:rPr>
        <w:t xml:space="preserve"> 0.05 were called differentially expressed. Finally, we performed a pre-ranked gene set enrichment analysis (GSEA) against four molecular signature database (MsigDB) collections (hallmark (H), curated pathways (C2), oncogenic signatures (C6), and immunologic signatures (C7)) using the R packages msigdbr and clusterProfiler. We considered BH-adjusted </w:t>
      </w:r>
      <w:r w:rsidRPr="00BA0028">
        <w:rPr>
          <w:i/>
          <w:szCs w:val="22"/>
        </w:rPr>
        <w:t>p</w:t>
      </w:r>
      <w:r w:rsidRPr="00BA0028">
        <w:rPr>
          <w:szCs w:val="22"/>
        </w:rPr>
        <w:t>-values ≤ 0.25 as significant.</w:t>
      </w:r>
      <w:r>
        <w:rPr>
          <w:szCs w:val="22"/>
        </w:rPr>
        <w:t xml:space="preserve"> </w:t>
      </w:r>
    </w:p>
    <w:p w14:paraId="23FBDD9B" w14:textId="77777777" w:rsidR="004721A8" w:rsidRPr="00BA0028" w:rsidRDefault="004721A8" w:rsidP="004721A8">
      <w:pPr>
        <w:spacing w:line="480" w:lineRule="auto"/>
        <w:ind w:firstLine="720"/>
        <w:rPr>
          <w:szCs w:val="22"/>
        </w:rPr>
      </w:pPr>
      <w:r w:rsidRPr="00BA0028">
        <w:rPr>
          <w:szCs w:val="22"/>
        </w:rPr>
        <w:lastRenderedPageBreak/>
        <w:t xml:space="preserve">Transcript-level counts of </w:t>
      </w:r>
      <w:r w:rsidRPr="00BA0028">
        <w:rPr>
          <w:i/>
          <w:iCs/>
          <w:szCs w:val="22"/>
        </w:rPr>
        <w:t>CCL3</w:t>
      </w:r>
      <w:r w:rsidRPr="00BA0028">
        <w:rPr>
          <w:szCs w:val="22"/>
        </w:rPr>
        <w:t xml:space="preserve"> were extracted from publicly available bulk RNA-sequencing datasets from the NCBI </w:t>
      </w:r>
      <w:proofErr w:type="spellStart"/>
      <w:r w:rsidRPr="00BA0028">
        <w:rPr>
          <w:szCs w:val="22"/>
        </w:rPr>
        <w:t>BioProject</w:t>
      </w:r>
      <w:proofErr w:type="spellEnd"/>
      <w:r w:rsidRPr="00BA0028">
        <w:rPr>
          <w:szCs w:val="22"/>
        </w:rPr>
        <w:t xml:space="preserve"> database under the accession numbers PRJDB11462 (four tumors), PRJEB36828 (seven tumors), and PRJDB17594 (12 cell lines).</w:t>
      </w:r>
    </w:p>
    <w:p w14:paraId="10713EF4" w14:textId="77777777" w:rsidR="004721A8" w:rsidRPr="00BA0028" w:rsidRDefault="004721A8" w:rsidP="004721A8">
      <w:pPr>
        <w:spacing w:line="480" w:lineRule="auto"/>
        <w:rPr>
          <w:szCs w:val="22"/>
        </w:rPr>
      </w:pPr>
      <w:r w:rsidRPr="00BA0028">
        <w:rPr>
          <w:i/>
          <w:szCs w:val="22"/>
        </w:rPr>
        <w:t>CCL3 knockdown</w:t>
      </w:r>
    </w:p>
    <w:p w14:paraId="6388E098" w14:textId="65335EEA" w:rsidR="004721A8" w:rsidRDefault="004721A8" w:rsidP="004721A8">
      <w:pPr>
        <w:spacing w:line="480" w:lineRule="auto"/>
        <w:ind w:firstLine="720"/>
        <w:rPr>
          <w:szCs w:val="22"/>
        </w:rPr>
      </w:pPr>
      <w:r w:rsidRPr="00BA0028">
        <w:rPr>
          <w:szCs w:val="22"/>
        </w:rPr>
        <w:t xml:space="preserve">Small interfering RNA (siRNAs) were designed against canine CCL3 in conjunction with non-targeting control (NTC) RNA (targeting siRNA sequences: GAA UAU GUG GCC GAU CUG AAG CUG A; CCU UUU CUG GUG UUC CGA AAG AUA </w:t>
      </w:r>
      <w:proofErr w:type="spellStart"/>
      <w:r w:rsidRPr="00BA0028">
        <w:rPr>
          <w:szCs w:val="22"/>
        </w:rPr>
        <w:t>AUA</w:t>
      </w:r>
      <w:proofErr w:type="spellEnd"/>
      <w:r w:rsidRPr="00BA0028">
        <w:rPr>
          <w:szCs w:val="22"/>
        </w:rPr>
        <w:t xml:space="preserve"> CCG; CUU UUC UGG UUU CGA AGA UAA UAC CGG; and NTC: </w:t>
      </w:r>
      <w:bookmarkStart w:id="0" w:name="OLE_LINK1"/>
      <w:r w:rsidRPr="00BA0028">
        <w:rPr>
          <w:szCs w:val="22"/>
        </w:rPr>
        <w:t>MISSION</w:t>
      </w:r>
      <w:r w:rsidRPr="00BA0028">
        <w:rPr>
          <w:szCs w:val="22"/>
          <w:vertAlign w:val="superscript"/>
        </w:rPr>
        <w:t>®</w:t>
      </w:r>
      <w:r w:rsidRPr="00BA0028">
        <w:rPr>
          <w:szCs w:val="22"/>
        </w:rPr>
        <w:t> siRNA Universal Negative Control #1</w:t>
      </w:r>
      <w:bookmarkEnd w:id="0"/>
      <w:r w:rsidRPr="00BA0028">
        <w:rPr>
          <w:szCs w:val="22"/>
        </w:rPr>
        <w:t xml:space="preserve">, SIC001, Sigma-Aldrich). siRNA-mediated knockdown in DH82 cells was performed by seeding 50,000 cells per well in a 6 well plate in antibiotic-free medium 24 h before transfection. Gene‐specific or NTC siRNAs were added at various concentrations to assess knockdown efficiency. Ultimately, 100 </w:t>
      </w:r>
      <w:proofErr w:type="spellStart"/>
      <w:r w:rsidRPr="00BA0028">
        <w:rPr>
          <w:szCs w:val="22"/>
        </w:rPr>
        <w:t>nM</w:t>
      </w:r>
      <w:proofErr w:type="spellEnd"/>
      <w:r w:rsidRPr="00BA0028">
        <w:rPr>
          <w:szCs w:val="22"/>
        </w:rPr>
        <w:t xml:space="preserve"> final </w:t>
      </w:r>
      <w:r>
        <w:rPr>
          <w:szCs w:val="22"/>
        </w:rPr>
        <w:t xml:space="preserve">concentration </w:t>
      </w:r>
      <w:r w:rsidRPr="00BA0028">
        <w:rPr>
          <w:szCs w:val="22"/>
        </w:rPr>
        <w:t xml:space="preserve">siRNA was complexed with </w:t>
      </w:r>
      <w:proofErr w:type="spellStart"/>
      <w:r w:rsidRPr="00BA0028">
        <w:rPr>
          <w:szCs w:val="22"/>
        </w:rPr>
        <w:t>HiPerfect</w:t>
      </w:r>
      <w:proofErr w:type="spellEnd"/>
      <w:r w:rsidRPr="00BA0028">
        <w:rPr>
          <w:szCs w:val="22"/>
        </w:rPr>
        <w:t xml:space="preserve"> transfection reagent (</w:t>
      </w:r>
      <w:proofErr w:type="gramStart"/>
      <w:r w:rsidRPr="00BA0028">
        <w:rPr>
          <w:szCs w:val="22"/>
        </w:rPr>
        <w:t>Qiagen, #</w:t>
      </w:r>
      <w:proofErr w:type="gramEnd"/>
      <w:r w:rsidRPr="00BA0028">
        <w:rPr>
          <w:szCs w:val="22"/>
        </w:rPr>
        <w:t>301704) in Opti-MEM reduced serum media (</w:t>
      </w:r>
      <w:proofErr w:type="spellStart"/>
      <w:r w:rsidRPr="00BA0028">
        <w:rPr>
          <w:szCs w:val="22"/>
        </w:rPr>
        <w:t>Thermo</w:t>
      </w:r>
      <w:proofErr w:type="spellEnd"/>
      <w:r w:rsidRPr="00BA0028">
        <w:rPr>
          <w:szCs w:val="22"/>
        </w:rPr>
        <w:t xml:space="preserve"> </w:t>
      </w:r>
      <w:proofErr w:type="gramStart"/>
      <w:r w:rsidRPr="00BA0028">
        <w:rPr>
          <w:szCs w:val="22"/>
        </w:rPr>
        <w:t>Fisher, #</w:t>
      </w:r>
      <w:proofErr w:type="gramEnd"/>
      <w:r w:rsidRPr="00BA0028">
        <w:rPr>
          <w:szCs w:val="22"/>
        </w:rPr>
        <w:t xml:space="preserve"> 31985088) and added to the cultures according to the manufacturer’s protocol. Cells were incubated for 24 h, after which the medium was replaced with D10. Knockdown efficiency</w:t>
      </w:r>
      <w:r>
        <w:rPr>
          <w:szCs w:val="22"/>
        </w:rPr>
        <w:t xml:space="preserve"> in KD, NTC and WT cells</w:t>
      </w:r>
      <w:r w:rsidRPr="00BA0028">
        <w:rPr>
          <w:szCs w:val="22"/>
        </w:rPr>
        <w:t xml:space="preserve"> was assessed at 24, 48, and 72 h post-transfection by western blotting with an anti-CCL3 antibody (</w:t>
      </w:r>
      <w:proofErr w:type="gramStart"/>
      <w:r w:rsidRPr="00BA0028">
        <w:rPr>
          <w:szCs w:val="22"/>
        </w:rPr>
        <w:t>Kingfisher, #</w:t>
      </w:r>
      <w:proofErr w:type="gramEnd"/>
      <w:r w:rsidRPr="00BA0028">
        <w:rPr>
          <w:szCs w:val="22"/>
          <w:shd w:val="clear" w:color="auto" w:fill="FFFFFF"/>
        </w:rPr>
        <w:t xml:space="preserve"> </w:t>
      </w:r>
      <w:r w:rsidRPr="00BA0028">
        <w:rPr>
          <w:szCs w:val="22"/>
        </w:rPr>
        <w:t>KP1365D) and by CCL3 ELISA</w:t>
      </w:r>
      <w:r>
        <w:rPr>
          <w:szCs w:val="22"/>
        </w:rPr>
        <w:t xml:space="preserve"> </w:t>
      </w:r>
      <w:r w:rsidRPr="00BA0028">
        <w:rPr>
          <w:szCs w:val="22"/>
        </w:rPr>
        <w:t xml:space="preserve">in supernatants from the knockdown </w:t>
      </w:r>
      <w:r>
        <w:rPr>
          <w:szCs w:val="22"/>
        </w:rPr>
        <w:t>KD</w:t>
      </w:r>
      <w:r w:rsidRPr="00BA0028">
        <w:rPr>
          <w:szCs w:val="22"/>
        </w:rPr>
        <w:t xml:space="preserve"> and wild-type (WT) cells (</w:t>
      </w:r>
      <w:bookmarkStart w:id="1" w:name="OLE_LINK3"/>
      <w:r w:rsidRPr="00BA0028">
        <w:rPr>
          <w:b/>
          <w:bCs/>
          <w:szCs w:val="22"/>
        </w:rPr>
        <w:t xml:space="preserve">Supplementary Figure </w:t>
      </w:r>
      <w:bookmarkEnd w:id="1"/>
      <w:r w:rsidR="001F228F">
        <w:rPr>
          <w:b/>
          <w:bCs/>
          <w:szCs w:val="22"/>
        </w:rPr>
        <w:t>5</w:t>
      </w:r>
      <w:r w:rsidRPr="00BA0028">
        <w:rPr>
          <w:szCs w:val="22"/>
        </w:rPr>
        <w:t>).</w:t>
      </w:r>
    </w:p>
    <w:sectPr w:rsidR="00472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8E3"/>
    <w:rsid w:val="00091862"/>
    <w:rsid w:val="00122151"/>
    <w:rsid w:val="001F228F"/>
    <w:rsid w:val="003076CB"/>
    <w:rsid w:val="0031581F"/>
    <w:rsid w:val="0040327D"/>
    <w:rsid w:val="004721A8"/>
    <w:rsid w:val="00616A3B"/>
    <w:rsid w:val="006328F4"/>
    <w:rsid w:val="00651944"/>
    <w:rsid w:val="006A0CEB"/>
    <w:rsid w:val="006E38E3"/>
    <w:rsid w:val="00715075"/>
    <w:rsid w:val="00717A78"/>
    <w:rsid w:val="0078609A"/>
    <w:rsid w:val="0087664A"/>
    <w:rsid w:val="00905C15"/>
    <w:rsid w:val="00907E63"/>
    <w:rsid w:val="00A34F4B"/>
    <w:rsid w:val="00B7343A"/>
    <w:rsid w:val="00BA0028"/>
    <w:rsid w:val="00C16389"/>
    <w:rsid w:val="00C25FE5"/>
    <w:rsid w:val="00CE4831"/>
    <w:rsid w:val="00D66063"/>
    <w:rsid w:val="00D9034C"/>
    <w:rsid w:val="00F76FB4"/>
    <w:rsid w:val="00FA572A"/>
    <w:rsid w:val="00FE5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4DF33"/>
  <w15:chartTrackingRefBased/>
  <w15:docId w15:val="{CE970FE9-D16B-4F5C-B1F3-C52A289A9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1A8"/>
    <w:pPr>
      <w:spacing w:after="0"/>
    </w:pPr>
    <w:rPr>
      <w:rFonts w:ascii="Times New Roman" w:eastAsia="Aptos" w:hAnsi="Times New Roman" w:cs="Times New Roman"/>
      <w:sz w:val="22"/>
      <w14:ligatures w14:val="none"/>
    </w:rPr>
  </w:style>
  <w:style w:type="paragraph" w:styleId="Heading1">
    <w:name w:val="heading 1"/>
    <w:basedOn w:val="Normal"/>
    <w:next w:val="Normal"/>
    <w:link w:val="Heading1Char"/>
    <w:uiPriority w:val="9"/>
    <w:qFormat/>
    <w:rsid w:val="006E38E3"/>
    <w:pPr>
      <w:keepNext/>
      <w:keepLines/>
      <w:spacing w:before="360" w:after="80"/>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iPriority w:val="9"/>
    <w:semiHidden/>
    <w:unhideWhenUsed/>
    <w:qFormat/>
    <w:rsid w:val="006E38E3"/>
    <w:pPr>
      <w:keepNext/>
      <w:keepLines/>
      <w:spacing w:before="160" w:after="80"/>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6E38E3"/>
    <w:pPr>
      <w:keepNext/>
      <w:keepLines/>
      <w:spacing w:before="160" w:after="80"/>
      <w:outlineLvl w:val="2"/>
    </w:pPr>
    <w:rPr>
      <w:rFonts w:asciiTheme="minorHAnsi" w:eastAsiaTheme="majorEastAsia" w:hAnsiTheme="minorHAnsi" w:cstheme="majorBidi"/>
      <w:color w:val="0F4761"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6E38E3"/>
    <w:pPr>
      <w:keepNext/>
      <w:keepLines/>
      <w:spacing w:before="80" w:after="40"/>
      <w:outlineLvl w:val="3"/>
    </w:pPr>
    <w:rPr>
      <w:rFonts w:asciiTheme="minorHAnsi" w:eastAsiaTheme="majorEastAsia" w:hAnsiTheme="minorHAnsi" w:cstheme="majorBidi"/>
      <w:i/>
      <w:iCs/>
      <w:color w:val="0F4761" w:themeColor="accent1" w:themeShade="BF"/>
      <w:sz w:val="24"/>
      <w14:ligatures w14:val="standardContextual"/>
    </w:rPr>
  </w:style>
  <w:style w:type="paragraph" w:styleId="Heading5">
    <w:name w:val="heading 5"/>
    <w:basedOn w:val="Normal"/>
    <w:next w:val="Normal"/>
    <w:link w:val="Heading5Char"/>
    <w:uiPriority w:val="9"/>
    <w:semiHidden/>
    <w:unhideWhenUsed/>
    <w:qFormat/>
    <w:rsid w:val="006E38E3"/>
    <w:pPr>
      <w:keepNext/>
      <w:keepLines/>
      <w:spacing w:before="80" w:after="40"/>
      <w:outlineLvl w:val="4"/>
    </w:pPr>
    <w:rPr>
      <w:rFonts w:asciiTheme="minorHAnsi" w:eastAsiaTheme="majorEastAsia" w:hAnsiTheme="minorHAnsi" w:cstheme="majorBidi"/>
      <w:color w:val="0F4761" w:themeColor="accent1" w:themeShade="BF"/>
      <w:sz w:val="24"/>
      <w14:ligatures w14:val="standardContextual"/>
    </w:rPr>
  </w:style>
  <w:style w:type="paragraph" w:styleId="Heading6">
    <w:name w:val="heading 6"/>
    <w:basedOn w:val="Normal"/>
    <w:next w:val="Normal"/>
    <w:link w:val="Heading6Char"/>
    <w:uiPriority w:val="9"/>
    <w:semiHidden/>
    <w:unhideWhenUsed/>
    <w:qFormat/>
    <w:rsid w:val="006E38E3"/>
    <w:pPr>
      <w:keepNext/>
      <w:keepLines/>
      <w:spacing w:before="40"/>
      <w:outlineLvl w:val="5"/>
    </w:pPr>
    <w:rPr>
      <w:rFonts w:asciiTheme="minorHAnsi" w:eastAsiaTheme="majorEastAsia" w:hAnsiTheme="minorHAnsi" w:cstheme="majorBidi"/>
      <w:i/>
      <w:iCs/>
      <w:color w:val="595959" w:themeColor="text1" w:themeTint="A6"/>
      <w:sz w:val="24"/>
      <w14:ligatures w14:val="standardContextual"/>
    </w:rPr>
  </w:style>
  <w:style w:type="paragraph" w:styleId="Heading7">
    <w:name w:val="heading 7"/>
    <w:basedOn w:val="Normal"/>
    <w:next w:val="Normal"/>
    <w:link w:val="Heading7Char"/>
    <w:uiPriority w:val="9"/>
    <w:semiHidden/>
    <w:unhideWhenUsed/>
    <w:qFormat/>
    <w:rsid w:val="006E38E3"/>
    <w:pPr>
      <w:keepNext/>
      <w:keepLines/>
      <w:spacing w:before="40"/>
      <w:outlineLvl w:val="6"/>
    </w:pPr>
    <w:rPr>
      <w:rFonts w:asciiTheme="minorHAnsi" w:eastAsiaTheme="majorEastAsia" w:hAnsiTheme="minorHAnsi" w:cstheme="majorBidi"/>
      <w:color w:val="595959" w:themeColor="text1" w:themeTint="A6"/>
      <w:sz w:val="24"/>
      <w14:ligatures w14:val="standardContextual"/>
    </w:rPr>
  </w:style>
  <w:style w:type="paragraph" w:styleId="Heading8">
    <w:name w:val="heading 8"/>
    <w:basedOn w:val="Normal"/>
    <w:next w:val="Normal"/>
    <w:link w:val="Heading8Char"/>
    <w:uiPriority w:val="9"/>
    <w:semiHidden/>
    <w:unhideWhenUsed/>
    <w:qFormat/>
    <w:rsid w:val="006E38E3"/>
    <w:pPr>
      <w:keepNext/>
      <w:keepLines/>
      <w:outlineLvl w:val="7"/>
    </w:pPr>
    <w:rPr>
      <w:rFonts w:asciiTheme="minorHAnsi" w:eastAsiaTheme="majorEastAsia" w:hAnsiTheme="minorHAnsi" w:cstheme="majorBidi"/>
      <w:i/>
      <w:iCs/>
      <w:color w:val="272727" w:themeColor="text1" w:themeTint="D8"/>
      <w:sz w:val="24"/>
      <w14:ligatures w14:val="standardContextual"/>
    </w:rPr>
  </w:style>
  <w:style w:type="paragraph" w:styleId="Heading9">
    <w:name w:val="heading 9"/>
    <w:basedOn w:val="Normal"/>
    <w:next w:val="Normal"/>
    <w:link w:val="Heading9Char"/>
    <w:uiPriority w:val="9"/>
    <w:semiHidden/>
    <w:unhideWhenUsed/>
    <w:qFormat/>
    <w:rsid w:val="006E38E3"/>
    <w:pPr>
      <w:keepNext/>
      <w:keepLines/>
      <w:outlineLvl w:val="8"/>
    </w:pPr>
    <w:rPr>
      <w:rFonts w:asciiTheme="minorHAnsi" w:eastAsiaTheme="majorEastAsia" w:hAnsiTheme="minorHAnsi" w:cstheme="majorBidi"/>
      <w:color w:val="272727" w:themeColor="text1" w:themeTint="D8"/>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8E3"/>
    <w:rPr>
      <w:rFonts w:eastAsiaTheme="majorEastAsia" w:cstheme="majorBidi"/>
      <w:color w:val="272727" w:themeColor="text1" w:themeTint="D8"/>
    </w:rPr>
  </w:style>
  <w:style w:type="paragraph" w:styleId="Title">
    <w:name w:val="Title"/>
    <w:basedOn w:val="Normal"/>
    <w:next w:val="Normal"/>
    <w:link w:val="TitleChar"/>
    <w:uiPriority w:val="10"/>
    <w:qFormat/>
    <w:rsid w:val="006E38E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E3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8E3"/>
    <w:pPr>
      <w:numPr>
        <w:ilvl w:val="1"/>
      </w:numPr>
      <w:spacing w:after="160"/>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6E3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8E3"/>
    <w:pPr>
      <w:spacing w:before="160" w:after="160"/>
      <w:jc w:val="center"/>
    </w:pPr>
    <w:rPr>
      <w:rFonts w:asciiTheme="minorHAnsi" w:eastAsiaTheme="minorHAnsi" w:hAnsiTheme="minorHAnsi" w:cstheme="minorBidi"/>
      <w:i/>
      <w:iCs/>
      <w:color w:val="404040" w:themeColor="text1" w:themeTint="BF"/>
      <w:sz w:val="24"/>
      <w14:ligatures w14:val="standardContextual"/>
    </w:rPr>
  </w:style>
  <w:style w:type="character" w:customStyle="1" w:styleId="QuoteChar">
    <w:name w:val="Quote Char"/>
    <w:basedOn w:val="DefaultParagraphFont"/>
    <w:link w:val="Quote"/>
    <w:uiPriority w:val="29"/>
    <w:rsid w:val="006E38E3"/>
    <w:rPr>
      <w:i/>
      <w:iCs/>
      <w:color w:val="404040" w:themeColor="text1" w:themeTint="BF"/>
    </w:rPr>
  </w:style>
  <w:style w:type="paragraph" w:styleId="ListParagraph">
    <w:name w:val="List Paragraph"/>
    <w:basedOn w:val="Normal"/>
    <w:uiPriority w:val="34"/>
    <w:qFormat/>
    <w:rsid w:val="006E38E3"/>
    <w:pPr>
      <w:spacing w:after="160"/>
      <w:ind w:left="720"/>
      <w:contextualSpacing/>
    </w:pPr>
    <w:rPr>
      <w:rFonts w:asciiTheme="minorHAnsi" w:eastAsiaTheme="minorHAnsi" w:hAnsiTheme="minorHAnsi" w:cstheme="minorBidi"/>
      <w:sz w:val="24"/>
      <w14:ligatures w14:val="standardContextual"/>
    </w:rPr>
  </w:style>
  <w:style w:type="character" w:styleId="IntenseEmphasis">
    <w:name w:val="Intense Emphasis"/>
    <w:basedOn w:val="DefaultParagraphFont"/>
    <w:uiPriority w:val="21"/>
    <w:qFormat/>
    <w:rsid w:val="006E38E3"/>
    <w:rPr>
      <w:i/>
      <w:iCs/>
      <w:color w:val="0F4761" w:themeColor="accent1" w:themeShade="BF"/>
    </w:rPr>
  </w:style>
  <w:style w:type="paragraph" w:styleId="IntenseQuote">
    <w:name w:val="Intense Quote"/>
    <w:basedOn w:val="Normal"/>
    <w:next w:val="Normal"/>
    <w:link w:val="IntenseQuoteChar"/>
    <w:uiPriority w:val="30"/>
    <w:qFormat/>
    <w:rsid w:val="006E38E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sz w:val="24"/>
      <w14:ligatures w14:val="standardContextual"/>
    </w:rPr>
  </w:style>
  <w:style w:type="character" w:customStyle="1" w:styleId="IntenseQuoteChar">
    <w:name w:val="Intense Quote Char"/>
    <w:basedOn w:val="DefaultParagraphFont"/>
    <w:link w:val="IntenseQuote"/>
    <w:uiPriority w:val="30"/>
    <w:rsid w:val="006E38E3"/>
    <w:rPr>
      <w:i/>
      <w:iCs/>
      <w:color w:val="0F4761" w:themeColor="accent1" w:themeShade="BF"/>
    </w:rPr>
  </w:style>
  <w:style w:type="character" w:styleId="IntenseReference">
    <w:name w:val="Intense Reference"/>
    <w:basedOn w:val="DefaultParagraphFont"/>
    <w:uiPriority w:val="32"/>
    <w:qFormat/>
    <w:rsid w:val="006E38E3"/>
    <w:rPr>
      <w:b/>
      <w:bCs/>
      <w:smallCaps/>
      <w:color w:val="0F4761" w:themeColor="accent1" w:themeShade="BF"/>
      <w:spacing w:val="5"/>
    </w:rPr>
  </w:style>
  <w:style w:type="character" w:customStyle="1" w:styleId="eop">
    <w:name w:val="eop"/>
    <w:basedOn w:val="DefaultParagraphFont"/>
    <w:rsid w:val="00BA0028"/>
  </w:style>
  <w:style w:type="paragraph" w:customStyle="1" w:styleId="paragraph">
    <w:name w:val="paragraph"/>
    <w:basedOn w:val="Normal"/>
    <w:rsid w:val="00BA0028"/>
    <w:pPr>
      <w:spacing w:before="100" w:beforeAutospacing="1" w:after="100" w:afterAutospacing="1" w:line="240" w:lineRule="auto"/>
    </w:pPr>
    <w:rPr>
      <w:rFonts w:eastAsia="Times New Roman"/>
      <w:kern w:val="0"/>
    </w:rPr>
  </w:style>
  <w:style w:type="table" w:styleId="TableGrid">
    <w:name w:val="Table Grid"/>
    <w:basedOn w:val="TableNormal"/>
    <w:uiPriority w:val="39"/>
    <w:rsid w:val="00D903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21A8"/>
    <w:pPr>
      <w:spacing w:before="100" w:beforeAutospacing="1" w:after="100" w:afterAutospacing="1" w:line="240" w:lineRule="auto"/>
    </w:pPr>
    <w:rPr>
      <w:rFonts w:eastAsia="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4546B7F41E497EAFD42FD540C8D807"/>
        <w:category>
          <w:name w:val="General"/>
          <w:gallery w:val="placeholder"/>
        </w:category>
        <w:types>
          <w:type w:val="bbPlcHdr"/>
        </w:types>
        <w:behaviors>
          <w:behavior w:val="content"/>
        </w:behaviors>
        <w:guid w:val="{8B645170-8EFD-4C2B-BD5A-CCD7A38E3886}"/>
      </w:docPartPr>
      <w:docPartBody>
        <w:p w:rsidR="009629EE" w:rsidRDefault="0055422B" w:rsidP="0055422B">
          <w:pPr>
            <w:pStyle w:val="BF4546B7F41E497EAFD42FD540C8D807"/>
          </w:pPr>
          <w:r w:rsidRPr="00941830">
            <w:rPr>
              <w:rStyle w:val="PlaceholderText"/>
            </w:rPr>
            <w:t>Click or tap here to enter text.</w:t>
          </w:r>
        </w:p>
      </w:docPartBody>
    </w:docPart>
    <w:docPart>
      <w:docPartPr>
        <w:name w:val="5BCCE8F282564C18972F1F156302C762"/>
        <w:category>
          <w:name w:val="General"/>
          <w:gallery w:val="placeholder"/>
        </w:category>
        <w:types>
          <w:type w:val="bbPlcHdr"/>
        </w:types>
        <w:behaviors>
          <w:behavior w:val="content"/>
        </w:behaviors>
        <w:guid w:val="{9F8473E5-4199-4611-A433-2899870E12BD}"/>
      </w:docPartPr>
      <w:docPartBody>
        <w:p w:rsidR="009629EE" w:rsidRDefault="0055422B" w:rsidP="0055422B">
          <w:pPr>
            <w:pStyle w:val="5BCCE8F282564C18972F1F156302C762"/>
          </w:pPr>
          <w:r w:rsidRPr="0094183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886"/>
    <w:rsid w:val="002E223A"/>
    <w:rsid w:val="0055422B"/>
    <w:rsid w:val="00616A3B"/>
    <w:rsid w:val="00642886"/>
    <w:rsid w:val="006A0CEB"/>
    <w:rsid w:val="006E5466"/>
    <w:rsid w:val="00717A78"/>
    <w:rsid w:val="0087664A"/>
    <w:rsid w:val="009629EE"/>
    <w:rsid w:val="009B4BAB"/>
    <w:rsid w:val="00AB72F6"/>
    <w:rsid w:val="00B74D8E"/>
    <w:rsid w:val="00D66063"/>
    <w:rsid w:val="00EB3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422B"/>
    <w:rPr>
      <w:color w:val="666666"/>
    </w:rPr>
  </w:style>
  <w:style w:type="paragraph" w:customStyle="1" w:styleId="BF4546B7F41E497EAFD42FD540C8D807">
    <w:name w:val="BF4546B7F41E497EAFD42FD540C8D807"/>
    <w:rsid w:val="0055422B"/>
  </w:style>
  <w:style w:type="paragraph" w:customStyle="1" w:styleId="5BCCE8F282564C18972F1F156302C762">
    <w:name w:val="5BCCE8F282564C18972F1F156302C762"/>
    <w:rsid w:val="005542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301</TotalTime>
  <Pages>3</Pages>
  <Words>940</Words>
  <Characters>5227</Characters>
  <Application>Microsoft Office Word</Application>
  <DocSecurity>0</DocSecurity>
  <Lines>209</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Brady,Rachel</dc:creator>
  <cp:keywords/>
  <dc:description/>
  <cp:lastModifiedBy>Brady,Rachel</cp:lastModifiedBy>
  <cp:revision>6</cp:revision>
  <dcterms:created xsi:type="dcterms:W3CDTF">2025-08-25T19:35:00Z</dcterms:created>
  <dcterms:modified xsi:type="dcterms:W3CDTF">2025-09-03T21:59:00Z</dcterms:modified>
</cp:coreProperties>
</file>