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42D35A" w14:textId="7B603DF6" w:rsidR="00B069FA" w:rsidRDefault="0071511E" w:rsidP="003F13D4">
      <w:pPr>
        <w:spacing w:line="240" w:lineRule="auto"/>
        <w:jc w:val="center"/>
        <w:rPr>
          <w:rFonts w:ascii="Times New Roman" w:hAnsi="Times New Roman"/>
          <w:sz w:val="24"/>
          <w:szCs w:val="24"/>
        </w:rPr>
      </w:pPr>
      <w:r>
        <w:rPr>
          <w:rFonts w:ascii="Times New Roman" w:hAnsi="Times New Roman"/>
          <w:sz w:val="24"/>
          <w:szCs w:val="24"/>
        </w:rPr>
        <w:t>Passages from</w:t>
      </w:r>
      <w:r w:rsidR="00F42C8A" w:rsidRPr="003F13D4">
        <w:rPr>
          <w:rFonts w:ascii="Times New Roman" w:hAnsi="Times New Roman"/>
          <w:sz w:val="24"/>
          <w:szCs w:val="24"/>
        </w:rPr>
        <w:t xml:space="preserve"> “Naming and Saying” (1962)</w:t>
      </w:r>
    </w:p>
    <w:p w14:paraId="2FB30DCC" w14:textId="7126CE2F" w:rsidR="00D57FBE" w:rsidRPr="003F13D4" w:rsidRDefault="00F42C8A" w:rsidP="003F13D4">
      <w:pPr>
        <w:pStyle w:val="ListParagraph"/>
        <w:numPr>
          <w:ilvl w:val="0"/>
          <w:numId w:val="1"/>
        </w:numPr>
        <w:spacing w:line="240" w:lineRule="auto"/>
        <w:ind w:left="360"/>
        <w:contextualSpacing w:val="0"/>
        <w:rPr>
          <w:rFonts w:ascii="Times New Roman" w:hAnsi="Times New Roman"/>
          <w:sz w:val="24"/>
          <w:szCs w:val="24"/>
        </w:rPr>
      </w:pPr>
      <w:bookmarkStart w:id="0" w:name="_GoBack"/>
      <w:bookmarkEnd w:id="0"/>
      <w:r w:rsidRPr="003F13D4">
        <w:rPr>
          <w:rFonts w:ascii="Times New Roman" w:hAnsi="Times New Roman"/>
          <w:sz w:val="24"/>
          <w:szCs w:val="24"/>
        </w:rPr>
        <w:t xml:space="preserve">“The essay adopts the Tractarian view that configurations of objects are expressed by configurations of names.” [103] </w:t>
      </w:r>
    </w:p>
    <w:p w14:paraId="03250662" w14:textId="77777777" w:rsidR="00D57FBE" w:rsidRPr="003F13D4" w:rsidRDefault="00F42C8A" w:rsidP="003F13D4">
      <w:pPr>
        <w:pStyle w:val="ListParagraph"/>
        <w:numPr>
          <w:ilvl w:val="0"/>
          <w:numId w:val="1"/>
        </w:numPr>
        <w:spacing w:line="240" w:lineRule="auto"/>
        <w:ind w:left="360"/>
        <w:contextualSpacing w:val="0"/>
        <w:rPr>
          <w:rFonts w:ascii="Times New Roman" w:hAnsi="Times New Roman"/>
          <w:sz w:val="24"/>
          <w:szCs w:val="24"/>
        </w:rPr>
      </w:pPr>
      <w:r w:rsidRPr="003F13D4">
        <w:rPr>
          <w:rFonts w:ascii="Times New Roman" w:hAnsi="Times New Roman"/>
          <w:sz w:val="24"/>
          <w:szCs w:val="24"/>
        </w:rPr>
        <w:t xml:space="preserve">  </w:t>
      </w:r>
      <w:r w:rsidR="00D57FBE" w:rsidRPr="003F13D4">
        <w:rPr>
          <w:rFonts w:ascii="Times New Roman" w:hAnsi="Times New Roman"/>
          <w:sz w:val="24"/>
          <w:szCs w:val="24"/>
        </w:rPr>
        <w:t>“</w:t>
      </w:r>
      <w:r w:rsidR="00D57FBE" w:rsidRPr="003F13D4">
        <w:rPr>
          <w:rFonts w:ascii="Times New Roman" w:hAnsi="Times New Roman"/>
          <w:color w:val="000000"/>
          <w:sz w:val="24"/>
          <w:szCs w:val="24"/>
        </w:rPr>
        <w:t xml:space="preserve">Two alternatives are considered: The objects in atomic facts are (1) without exception </w:t>
      </w:r>
      <w:r w:rsidR="00D57FBE" w:rsidRPr="003F13D4">
        <w:rPr>
          <w:rFonts w:ascii="Times New Roman" w:hAnsi="Times New Roman"/>
          <w:i/>
          <w:color w:val="000000"/>
          <w:sz w:val="24"/>
          <w:szCs w:val="24"/>
        </w:rPr>
        <w:t>particulars</w:t>
      </w:r>
      <w:r w:rsidR="00D57FBE" w:rsidRPr="003F13D4">
        <w:rPr>
          <w:rFonts w:ascii="Times New Roman" w:hAnsi="Times New Roman"/>
          <w:color w:val="000000"/>
          <w:sz w:val="24"/>
          <w:szCs w:val="24"/>
        </w:rPr>
        <w:t xml:space="preserve">; (2) one or more particulars plus a </w:t>
      </w:r>
      <w:r w:rsidR="00D57FBE" w:rsidRPr="003F13D4">
        <w:rPr>
          <w:rFonts w:ascii="Times New Roman" w:hAnsi="Times New Roman"/>
          <w:i/>
          <w:color w:val="000000"/>
          <w:sz w:val="24"/>
          <w:szCs w:val="24"/>
        </w:rPr>
        <w:t>universal</w:t>
      </w:r>
      <w:r w:rsidR="00D57FBE" w:rsidRPr="003F13D4">
        <w:rPr>
          <w:rFonts w:ascii="Times New Roman" w:hAnsi="Times New Roman"/>
          <w:color w:val="000000"/>
          <w:sz w:val="24"/>
          <w:szCs w:val="24"/>
        </w:rPr>
        <w:t xml:space="preserve"> (Gustav Bergmann). On (1) a mode of configuration is always an empirical relation: on (2) it is the logical nexus of ‘exemplification’. It is argued that (1) is both Wittgenstein’s view in the </w:t>
      </w:r>
      <w:r w:rsidR="00D57FBE" w:rsidRPr="003F13D4">
        <w:rPr>
          <w:rFonts w:ascii="Times New Roman" w:hAnsi="Times New Roman"/>
          <w:i/>
          <w:color w:val="000000"/>
          <w:sz w:val="24"/>
          <w:szCs w:val="24"/>
        </w:rPr>
        <w:t>Tractatus</w:t>
      </w:r>
      <w:r w:rsidR="00D57FBE" w:rsidRPr="003F13D4">
        <w:rPr>
          <w:rFonts w:ascii="Times New Roman" w:hAnsi="Times New Roman"/>
          <w:color w:val="000000"/>
          <w:sz w:val="24"/>
          <w:szCs w:val="24"/>
        </w:rPr>
        <w:t xml:space="preserve"> and correct. It is also argued that exemplification is a ‘quasi-semantical’ relation, and that it (and universals) are “in the world” only in that broad sense in which the ‘world’ includes linguistic norms and roles viewed (thus in translating) from the standpoint of a fellow participant.” [103] </w:t>
      </w:r>
    </w:p>
    <w:p w14:paraId="3E7284B7" w14:textId="77777777" w:rsidR="00F42C8A" w:rsidRPr="003F13D4" w:rsidRDefault="00796A16" w:rsidP="003F13D4">
      <w:pPr>
        <w:pStyle w:val="ListParagraph"/>
        <w:numPr>
          <w:ilvl w:val="0"/>
          <w:numId w:val="1"/>
        </w:numPr>
        <w:spacing w:before="240" w:line="240" w:lineRule="auto"/>
        <w:ind w:left="360"/>
        <w:contextualSpacing w:val="0"/>
        <w:rPr>
          <w:rFonts w:ascii="Times New Roman" w:hAnsi="Times New Roman"/>
          <w:sz w:val="24"/>
          <w:szCs w:val="24"/>
        </w:rPr>
      </w:pPr>
      <w:r w:rsidRPr="003F13D4">
        <w:rPr>
          <w:rFonts w:ascii="Times New Roman" w:hAnsi="Times New Roman"/>
          <w:sz w:val="24"/>
          <w:szCs w:val="24"/>
        </w:rPr>
        <w:t>The crucial passage, of course, is 3.1432, “We must not say: ‘The complex sign “aRb” says “a stands in the relation R to b”’; but we must say, ‘</w:t>
      </w:r>
      <w:r w:rsidRPr="003F13D4">
        <w:rPr>
          <w:rFonts w:ascii="Times New Roman" w:hAnsi="Times New Roman"/>
          <w:i/>
          <w:sz w:val="24"/>
          <w:szCs w:val="24"/>
        </w:rPr>
        <w:t>That</w:t>
      </w:r>
      <w:r w:rsidRPr="003F13D4">
        <w:rPr>
          <w:rFonts w:ascii="Times New Roman" w:hAnsi="Times New Roman"/>
          <w:sz w:val="24"/>
          <w:szCs w:val="24"/>
        </w:rPr>
        <w:t xml:space="preserve"> “a” stands in a certain relation to “b” says </w:t>
      </w:r>
      <w:r w:rsidRPr="003F13D4">
        <w:rPr>
          <w:rFonts w:ascii="Times New Roman" w:hAnsi="Times New Roman"/>
          <w:i/>
          <w:sz w:val="24"/>
          <w:szCs w:val="24"/>
        </w:rPr>
        <w:t>that</w:t>
      </w:r>
      <w:r w:rsidRPr="003F13D4">
        <w:rPr>
          <w:rFonts w:ascii="Times New Roman" w:hAnsi="Times New Roman"/>
          <w:sz w:val="24"/>
          <w:szCs w:val="24"/>
        </w:rPr>
        <w:t xml:space="preserve"> aRb.’” [104]</w:t>
      </w:r>
    </w:p>
    <w:p w14:paraId="4A5A3347" w14:textId="77777777" w:rsidR="00F42C8A" w:rsidRPr="003F13D4" w:rsidRDefault="00E75C06" w:rsidP="003F13D4">
      <w:pPr>
        <w:pStyle w:val="ListParagraph"/>
        <w:numPr>
          <w:ilvl w:val="0"/>
          <w:numId w:val="1"/>
        </w:numPr>
        <w:spacing w:before="240" w:line="240" w:lineRule="auto"/>
        <w:ind w:left="360"/>
        <w:contextualSpacing w:val="0"/>
        <w:rPr>
          <w:rFonts w:ascii="Times New Roman" w:hAnsi="Times New Roman"/>
          <w:sz w:val="24"/>
          <w:szCs w:val="24"/>
        </w:rPr>
      </w:pPr>
      <w:r w:rsidRPr="003F13D4">
        <w:rPr>
          <w:rFonts w:ascii="Times New Roman" w:hAnsi="Times New Roman"/>
          <w:sz w:val="24"/>
          <w:szCs w:val="24"/>
        </w:rPr>
        <w:t>“But the crucial point that Wittgenstein is making emerges when we ask ‘What are the parts of the statement in question the relation of which to one another is essential to its character as statement?’” [104]</w:t>
      </w:r>
    </w:p>
    <w:p w14:paraId="016E10A0" w14:textId="77777777" w:rsidR="00796A16" w:rsidRPr="003F13D4" w:rsidRDefault="00425AED" w:rsidP="003F13D4">
      <w:pPr>
        <w:pStyle w:val="ListParagraph"/>
        <w:numPr>
          <w:ilvl w:val="0"/>
          <w:numId w:val="1"/>
        </w:numPr>
        <w:spacing w:before="240" w:line="240" w:lineRule="auto"/>
        <w:ind w:left="360"/>
        <w:contextualSpacing w:val="0"/>
        <w:rPr>
          <w:rFonts w:ascii="Times New Roman" w:hAnsi="Times New Roman"/>
          <w:sz w:val="24"/>
          <w:szCs w:val="24"/>
        </w:rPr>
      </w:pPr>
      <w:r w:rsidRPr="003F13D4">
        <w:rPr>
          <w:rFonts w:ascii="Times New Roman" w:hAnsi="Times New Roman"/>
          <w:sz w:val="24"/>
          <w:szCs w:val="24"/>
        </w:rPr>
        <w:t>“What Wittgenstein tells us is that while superfcially regarded the statement is a concatenation of the three parts ‘a’, ‘R’ and ‘b’, viewed more profoundly it is a two-termed fact, with ‘R’ coming in to the statement as bringing it about that the expressions ‘a’ and ‘b’ are dyadically related in a certain way, i.e. as bringing it about that the expressions ‘a’ and ‘b’ are related as having an ‘R’ between them.” [104]</w:t>
      </w:r>
    </w:p>
    <w:p w14:paraId="768077D4" w14:textId="77777777" w:rsidR="006163F1" w:rsidRPr="003F13D4" w:rsidRDefault="006163F1" w:rsidP="003F13D4">
      <w:pPr>
        <w:pStyle w:val="ListParagraph"/>
        <w:numPr>
          <w:ilvl w:val="0"/>
          <w:numId w:val="1"/>
        </w:numPr>
        <w:spacing w:before="240" w:line="240" w:lineRule="auto"/>
        <w:ind w:left="360"/>
        <w:contextualSpacing w:val="0"/>
        <w:rPr>
          <w:rFonts w:ascii="Times New Roman" w:hAnsi="Times New Roman"/>
          <w:sz w:val="24"/>
          <w:szCs w:val="24"/>
        </w:rPr>
      </w:pPr>
      <w:r w:rsidRPr="003F13D4">
        <w:rPr>
          <w:rFonts w:ascii="Times New Roman" w:hAnsi="Times New Roman"/>
          <w:color w:val="000000"/>
          <w:sz w:val="24"/>
          <w:szCs w:val="24"/>
        </w:rPr>
        <w:t xml:space="preserve">“Indeed, he is telling us that it is philosophically clarifying to recognize that instead of expressing the proposition that a is next to b by writing ‘is next to’ between ‘a’ and ‘b’, we could write ‘a’ in some relation to ‘b’ using only these signs. In a perspicuous language this is what we would do. Suppose that the Jumblies have such a language. It contains no relation words, but has the same name expressions as our tidied up English. Then we could translate Jumblese into English by making such statements as </w:t>
      </w:r>
    </w:p>
    <w:p w14:paraId="3981F894" w14:textId="77777777" w:rsidR="006163F1" w:rsidRPr="003F13D4" w:rsidRDefault="006163F1" w:rsidP="003F13D4">
      <w:pPr>
        <w:pStyle w:val="StandardIndentCenter"/>
        <w:spacing w:before="0" w:after="0" w:line="240" w:lineRule="auto"/>
      </w:pPr>
      <w:r w:rsidRPr="003F13D4">
        <w:rPr>
          <w:position w:val="3"/>
        </w:rPr>
        <w:t>‘</w:t>
      </w:r>
      <w:r w:rsidR="00D01989" w:rsidRPr="003F13D4">
        <w:rPr>
          <w:position w:val="3"/>
        </w:rPr>
        <w:fldChar w:fldCharType="begin"/>
      </w:r>
      <w:r w:rsidRPr="003F13D4">
        <w:rPr>
          <w:position w:val="3"/>
        </w:rPr>
        <w:instrText>eq \o(\s\up 8(a ),\s\do 3(b))</w:instrText>
      </w:r>
      <w:r w:rsidR="00D01989" w:rsidRPr="003F13D4">
        <w:rPr>
          <w:position w:val="3"/>
        </w:rPr>
        <w:fldChar w:fldCharType="end"/>
      </w:r>
      <w:r w:rsidRPr="003F13D4">
        <w:rPr>
          <w:position w:val="3"/>
        </w:rPr>
        <w:t xml:space="preserve">’ </w:t>
      </w:r>
      <w:r w:rsidRPr="003F13D4">
        <w:t xml:space="preserve">(in Jumblese) means </w:t>
      </w:r>
      <w:r w:rsidRPr="003F13D4">
        <w:rPr>
          <w:i/>
        </w:rPr>
        <w:t>a is next to b</w:t>
      </w:r>
    </w:p>
    <w:p w14:paraId="4A2A0ED2" w14:textId="77777777" w:rsidR="00796A16" w:rsidRPr="003F13D4" w:rsidRDefault="006163F1" w:rsidP="00C4609B">
      <w:pPr>
        <w:spacing w:line="240" w:lineRule="auto"/>
        <w:ind w:firstLine="360"/>
        <w:rPr>
          <w:rFonts w:ascii="Times New Roman" w:hAnsi="Times New Roman"/>
          <w:sz w:val="24"/>
          <w:szCs w:val="24"/>
        </w:rPr>
      </w:pPr>
      <w:r w:rsidRPr="003F13D4">
        <w:rPr>
          <w:rFonts w:ascii="Times New Roman" w:hAnsi="Times New Roman"/>
          <w:color w:val="000000"/>
          <w:sz w:val="24"/>
          <w:szCs w:val="24"/>
        </w:rPr>
        <w:t>and be on our way to philosophical clarification.” [105]</w:t>
      </w:r>
    </w:p>
    <w:p w14:paraId="4A876BF3" w14:textId="77777777" w:rsidR="00796A16" w:rsidRPr="003F13D4" w:rsidRDefault="00906459" w:rsidP="003F13D4">
      <w:pPr>
        <w:pStyle w:val="ListParagraph"/>
        <w:numPr>
          <w:ilvl w:val="0"/>
          <w:numId w:val="1"/>
        </w:numPr>
        <w:spacing w:before="240" w:line="240" w:lineRule="auto"/>
        <w:ind w:left="360"/>
        <w:contextualSpacing w:val="0"/>
        <w:rPr>
          <w:rFonts w:ascii="Times New Roman" w:hAnsi="Times New Roman"/>
          <w:sz w:val="24"/>
          <w:szCs w:val="24"/>
        </w:rPr>
      </w:pPr>
      <w:r w:rsidRPr="003F13D4">
        <w:rPr>
          <w:rFonts w:ascii="Times New Roman" w:hAnsi="Times New Roman"/>
          <w:sz w:val="24"/>
          <w:szCs w:val="24"/>
        </w:rPr>
        <w:t>“[T]o represent that certain objects satisfy an n-adic concept, one makes their names satisfy an n-adic concept.” [105]</w:t>
      </w:r>
    </w:p>
    <w:p w14:paraId="48452510" w14:textId="78C0E372" w:rsidR="003F13D4" w:rsidRDefault="00BC5535" w:rsidP="003F13D4">
      <w:pPr>
        <w:pStyle w:val="ListParagraph"/>
        <w:numPr>
          <w:ilvl w:val="0"/>
          <w:numId w:val="1"/>
        </w:numPr>
        <w:spacing w:before="240" w:line="240" w:lineRule="auto"/>
        <w:ind w:left="360"/>
        <w:contextualSpacing w:val="0"/>
        <w:rPr>
          <w:rFonts w:ascii="Times New Roman" w:hAnsi="Times New Roman"/>
          <w:sz w:val="24"/>
          <w:szCs w:val="24"/>
        </w:rPr>
      </w:pPr>
      <w:r w:rsidRPr="003F13D4">
        <w:rPr>
          <w:rFonts w:ascii="Times New Roman" w:hAnsi="Times New Roman"/>
          <w:sz w:val="24"/>
          <w:szCs w:val="24"/>
        </w:rPr>
        <w:t xml:space="preserve">The second category of unperspicuous name-like expressions for LW is: “those which would not translate at all into that part of a perspicuous language which is used to make statements about what is or is not the case in the world. It is the latter which are in a special sense without meaning, though not in any ordinary sense meaningless. The ‘objects’ or ‘individuals’ or ‘logical subjects’ they mention are pseudo-objects in that to ‘mention them’ is to call attention to those </w:t>
      </w:r>
      <w:r w:rsidRPr="003F13D4">
        <w:rPr>
          <w:rFonts w:ascii="Times New Roman" w:hAnsi="Times New Roman"/>
          <w:b/>
          <w:sz w:val="24"/>
          <w:szCs w:val="24"/>
        </w:rPr>
        <w:t>features of discourse</w:t>
      </w:r>
      <w:r w:rsidRPr="003F13D4">
        <w:rPr>
          <w:rFonts w:ascii="Times New Roman" w:hAnsi="Times New Roman"/>
          <w:sz w:val="24"/>
          <w:szCs w:val="24"/>
        </w:rPr>
        <w:t xml:space="preserve"> about what is or is not the case in the world </w:t>
      </w:r>
      <w:r w:rsidRPr="003F13D4">
        <w:rPr>
          <w:rFonts w:ascii="Times New Roman" w:hAnsi="Times New Roman"/>
          <w:sz w:val="24"/>
          <w:szCs w:val="24"/>
        </w:rPr>
        <w:lastRenderedPageBreak/>
        <w:t xml:space="preserve">which ‘show themselves’, i.e. </w:t>
      </w:r>
      <w:r w:rsidRPr="004E3E8A">
        <w:rPr>
          <w:rFonts w:ascii="Times New Roman" w:hAnsi="Times New Roman"/>
          <w:b/>
          <w:sz w:val="24"/>
          <w:szCs w:val="24"/>
        </w:rPr>
        <w:t>are present in a perspicuous language not as words, but in the manner in which words are combined</w:t>
      </w:r>
      <w:r w:rsidRPr="003F13D4">
        <w:rPr>
          <w:rFonts w:ascii="Times New Roman" w:hAnsi="Times New Roman"/>
          <w:sz w:val="24"/>
          <w:szCs w:val="24"/>
        </w:rPr>
        <w:t xml:space="preserve">. </w:t>
      </w:r>
      <w:r w:rsidR="007867E3" w:rsidRPr="003F13D4">
        <w:rPr>
          <w:rFonts w:ascii="Times New Roman" w:hAnsi="Times New Roman"/>
          <w:sz w:val="24"/>
          <w:szCs w:val="24"/>
        </w:rPr>
        <w:t xml:space="preserve"> </w:t>
      </w:r>
      <w:r w:rsidRPr="003F13D4">
        <w:rPr>
          <w:rFonts w:ascii="Times New Roman" w:hAnsi="Times New Roman"/>
          <w:sz w:val="24"/>
          <w:szCs w:val="24"/>
        </w:rPr>
        <w:t xml:space="preserve">Thus it is perfectly legitimate to say that there are ‘objects’ other than particulars, and to make statements about them. These objects (complexes aside) are </w:t>
      </w:r>
      <w:r w:rsidRPr="003F13D4">
        <w:rPr>
          <w:rFonts w:ascii="Times New Roman" w:hAnsi="Times New Roman"/>
          <w:b/>
          <w:sz w:val="24"/>
          <w:szCs w:val="24"/>
        </w:rPr>
        <w:t>not in the world</w:t>
      </w:r>
      <w:r w:rsidRPr="003F13D4">
        <w:rPr>
          <w:rFonts w:ascii="Times New Roman" w:hAnsi="Times New Roman"/>
          <w:sz w:val="24"/>
          <w:szCs w:val="24"/>
        </w:rPr>
        <w:t xml:space="preserve">, however, </w:t>
      </w:r>
      <w:r w:rsidRPr="003F13D4">
        <w:rPr>
          <w:rFonts w:ascii="Times New Roman" w:hAnsi="Times New Roman"/>
          <w:b/>
          <w:sz w:val="24"/>
          <w:szCs w:val="24"/>
        </w:rPr>
        <w:t>nor do statements about them tell us how things stand in the world.</w:t>
      </w:r>
      <w:r w:rsidRPr="003F13D4">
        <w:rPr>
          <w:rFonts w:ascii="Times New Roman" w:hAnsi="Times New Roman"/>
          <w:sz w:val="24"/>
          <w:szCs w:val="24"/>
        </w:rPr>
        <w:t>”  [106]</w:t>
      </w:r>
      <w:r w:rsidR="007867E3" w:rsidRPr="003F13D4">
        <w:rPr>
          <w:rFonts w:ascii="Times New Roman" w:hAnsi="Times New Roman"/>
          <w:sz w:val="24"/>
          <w:szCs w:val="24"/>
        </w:rPr>
        <w:t xml:space="preserve">  </w:t>
      </w:r>
    </w:p>
    <w:p w14:paraId="1FABC436" w14:textId="77777777" w:rsidR="003F13D4" w:rsidRPr="003F13D4" w:rsidRDefault="007867E3" w:rsidP="003F13D4">
      <w:pPr>
        <w:pStyle w:val="ListParagraph"/>
        <w:numPr>
          <w:ilvl w:val="0"/>
          <w:numId w:val="1"/>
        </w:numPr>
        <w:spacing w:before="240" w:line="240" w:lineRule="auto"/>
        <w:ind w:left="360"/>
        <w:contextualSpacing w:val="0"/>
        <w:rPr>
          <w:rFonts w:ascii="Times New Roman" w:hAnsi="Times New Roman"/>
          <w:sz w:val="24"/>
          <w:szCs w:val="24"/>
        </w:rPr>
      </w:pPr>
      <w:r w:rsidRPr="003F13D4">
        <w:rPr>
          <w:rFonts w:ascii="Times New Roman" w:hAnsi="Times New Roman"/>
          <w:sz w:val="24"/>
          <w:szCs w:val="24"/>
        </w:rPr>
        <w:t xml:space="preserve"> </w:t>
      </w:r>
      <w:r w:rsidR="003F13D4" w:rsidRPr="003F13D4">
        <w:rPr>
          <w:rFonts w:ascii="Times New Roman" w:hAnsi="Times New Roman"/>
          <w:sz w:val="24"/>
          <w:szCs w:val="24"/>
        </w:rPr>
        <w:t>“</w:t>
      </w:r>
      <w:r w:rsidR="003F13D4" w:rsidRPr="003F13D4">
        <w:rPr>
          <w:rFonts w:ascii="Times New Roman" w:hAnsi="Times New Roman"/>
          <w:color w:val="000000"/>
          <w:sz w:val="24"/>
          <w:szCs w:val="24"/>
        </w:rPr>
        <w:t xml:space="preserve">Now one can conceive of a philosopher who agrees with Wittgenstein that in a perspicuous language the fact that two objects stand in a dyadic relation would be represented by making their names stand in a dyadic relation, but who </w:t>
      </w:r>
      <w:r w:rsidR="003F13D4" w:rsidRPr="003F13D4">
        <w:rPr>
          <w:rFonts w:ascii="Times New Roman" w:hAnsi="Times New Roman"/>
          <w:b/>
          <w:color w:val="000000"/>
          <w:sz w:val="24"/>
          <w:szCs w:val="24"/>
        </w:rPr>
        <w:t xml:space="preserve">rejects the idea that the only objects or individuals </w:t>
      </w:r>
      <w:r w:rsidR="003F13D4" w:rsidRPr="003F13D4">
        <w:rPr>
          <w:rFonts w:ascii="Times New Roman" w:hAnsi="Times New Roman"/>
          <w:b/>
          <w:i/>
          <w:color w:val="000000"/>
          <w:sz w:val="24"/>
          <w:szCs w:val="24"/>
        </w:rPr>
        <w:t>in the world</w:t>
      </w:r>
      <w:r w:rsidR="003F13D4" w:rsidRPr="003F13D4">
        <w:rPr>
          <w:rFonts w:ascii="Times New Roman" w:hAnsi="Times New Roman"/>
          <w:b/>
          <w:color w:val="000000"/>
          <w:sz w:val="24"/>
          <w:szCs w:val="24"/>
        </w:rPr>
        <w:t xml:space="preserve"> are particulars</w:t>
      </w:r>
      <w:r w:rsidR="003F13D4" w:rsidRPr="003F13D4">
        <w:rPr>
          <w:rFonts w:ascii="Times New Roman" w:hAnsi="Times New Roman"/>
          <w:color w:val="000000"/>
          <w:sz w:val="24"/>
          <w:szCs w:val="24"/>
        </w:rPr>
        <w:t xml:space="preserve">. Such a philosopher might distinguish, for example, within the fact that a certain sense-datum (supposing there to be such entities) is green, between two objects, a </w:t>
      </w:r>
      <w:r w:rsidR="003F13D4" w:rsidRPr="003F13D4">
        <w:rPr>
          <w:rFonts w:ascii="Times New Roman" w:hAnsi="Times New Roman"/>
          <w:i/>
          <w:color w:val="000000"/>
          <w:sz w:val="24"/>
          <w:szCs w:val="24"/>
        </w:rPr>
        <w:t>particular</w:t>
      </w:r>
      <w:r w:rsidR="003F13D4" w:rsidRPr="003F13D4">
        <w:rPr>
          <w:rFonts w:ascii="Times New Roman" w:hAnsi="Times New Roman"/>
          <w:color w:val="000000"/>
          <w:sz w:val="24"/>
          <w:szCs w:val="24"/>
        </w:rPr>
        <w:t xml:space="preserve"> of which the name might be ‘a’, and an item which, though equally an </w:t>
      </w:r>
      <w:r w:rsidR="003F13D4" w:rsidRPr="003F13D4">
        <w:rPr>
          <w:rFonts w:ascii="Times New Roman" w:hAnsi="Times New Roman"/>
          <w:i/>
          <w:color w:val="000000"/>
          <w:sz w:val="24"/>
          <w:szCs w:val="24"/>
        </w:rPr>
        <w:t>object</w:t>
      </w:r>
      <w:r w:rsidR="003F13D4" w:rsidRPr="003F13D4">
        <w:rPr>
          <w:rFonts w:ascii="Times New Roman" w:hAnsi="Times New Roman"/>
          <w:color w:val="000000"/>
          <w:sz w:val="24"/>
          <w:szCs w:val="24"/>
        </w:rPr>
        <w:t xml:space="preserve"> or </w:t>
      </w:r>
      <w:r w:rsidR="003F13D4" w:rsidRPr="003F13D4">
        <w:rPr>
          <w:rFonts w:ascii="Times New Roman" w:hAnsi="Times New Roman"/>
          <w:i/>
          <w:color w:val="000000"/>
          <w:sz w:val="24"/>
          <w:szCs w:val="24"/>
        </w:rPr>
        <w:t>individual</w:t>
      </w:r>
      <w:r w:rsidR="003F13D4" w:rsidRPr="003F13D4">
        <w:rPr>
          <w:rFonts w:ascii="Times New Roman" w:hAnsi="Times New Roman"/>
          <w:color w:val="000000"/>
          <w:sz w:val="24"/>
          <w:szCs w:val="24"/>
        </w:rPr>
        <w:t xml:space="preserve">, is not a </w:t>
      </w:r>
      <w:r w:rsidR="003F13D4" w:rsidRPr="003F13D4">
        <w:rPr>
          <w:rFonts w:ascii="Times New Roman" w:hAnsi="Times New Roman"/>
          <w:i/>
          <w:color w:val="000000"/>
          <w:sz w:val="24"/>
          <w:szCs w:val="24"/>
        </w:rPr>
        <w:t>particular</w:t>
      </w:r>
      <w:r w:rsidR="003F13D4" w:rsidRPr="003F13D4">
        <w:rPr>
          <w:rFonts w:ascii="Times New Roman" w:hAnsi="Times New Roman"/>
          <w:color w:val="000000"/>
          <w:sz w:val="24"/>
          <w:szCs w:val="24"/>
        </w:rPr>
        <w:t xml:space="preserve">. Let us suppose that the name of this object is ‘green’. Let us say that </w:t>
      </w:r>
      <w:r w:rsidR="003F13D4" w:rsidRPr="003F13D4">
        <w:rPr>
          <w:rFonts w:ascii="Times New Roman" w:hAnsi="Times New Roman"/>
          <w:b/>
          <w:color w:val="000000"/>
          <w:sz w:val="24"/>
          <w:szCs w:val="24"/>
        </w:rPr>
        <w:t>green is a universal rather than a particular</w:t>
      </w:r>
      <w:r w:rsidR="003F13D4" w:rsidRPr="003F13D4">
        <w:rPr>
          <w:rFonts w:ascii="Times New Roman" w:hAnsi="Times New Roman"/>
          <w:color w:val="000000"/>
          <w:sz w:val="24"/>
          <w:szCs w:val="24"/>
        </w:rPr>
        <w:t>, and that among universals it is a quality rather than a relation. According to this philosopher,</w:t>
      </w:r>
      <w:r w:rsidR="003F13D4">
        <w:rPr>
          <w:rFonts w:ascii="Times New Roman" w:hAnsi="Times New Roman"/>
          <w:color w:val="000000"/>
          <w:sz w:val="24"/>
          <w:szCs w:val="24"/>
        </w:rPr>
        <w:t xml:space="preserve"> </w:t>
      </w:r>
      <w:r w:rsidR="003F13D4" w:rsidRPr="003F13D4">
        <w:rPr>
          <w:rFonts w:ascii="Times New Roman" w:hAnsi="Times New Roman"/>
          <w:color w:val="000000"/>
          <w:sz w:val="24"/>
          <w:szCs w:val="24"/>
        </w:rPr>
        <w:t xml:space="preserve"> the perspicuous way of saying that a is green</w:t>
      </w:r>
      <w:r w:rsidR="003F13D4">
        <w:rPr>
          <w:rFonts w:ascii="Times New Roman" w:hAnsi="Times New Roman"/>
          <w:color w:val="000000"/>
          <w:sz w:val="24"/>
          <w:szCs w:val="24"/>
        </w:rPr>
        <w:t>…</w:t>
      </w:r>
      <w:r w:rsidR="003F13D4" w:rsidRPr="003F13D4">
        <w:rPr>
          <w:rFonts w:ascii="Times New Roman" w:hAnsi="Times New Roman"/>
          <w:color w:val="000000"/>
          <w:sz w:val="24"/>
          <w:szCs w:val="24"/>
        </w:rPr>
        <w:t xml:space="preserve">is by putting the two names ‘a’ and ‘green’ in some relation, the same relation in which we would put ‘b’ and ‘red’ if we wished to say that b is red. Let us suppose that we write ‘Green a’. Our previous discussion suggests the question: What would be the </w:t>
      </w:r>
      <w:r w:rsidR="003F13D4" w:rsidRPr="003F13D4">
        <w:rPr>
          <w:rFonts w:ascii="Times New Roman" w:hAnsi="Times New Roman"/>
          <w:i/>
          <w:color w:val="000000"/>
          <w:sz w:val="24"/>
          <w:szCs w:val="24"/>
        </w:rPr>
        <w:t>unperspicuous</w:t>
      </w:r>
      <w:r w:rsidR="003F13D4" w:rsidRPr="003F13D4">
        <w:rPr>
          <w:rFonts w:ascii="Times New Roman" w:hAnsi="Times New Roman"/>
          <w:color w:val="000000"/>
          <w:sz w:val="24"/>
          <w:szCs w:val="24"/>
        </w:rPr>
        <w:t xml:space="preserve"> way of saying what is said by ‘Green a’, i.e. which would stand to ‘Green a’ as, on Wittgenstein’s view ‘aRb’ stands to, say, ‘</w:t>
      </w:r>
      <w:r w:rsidR="00D01989" w:rsidRPr="003F13D4">
        <w:rPr>
          <w:rFonts w:ascii="Times New Roman" w:hAnsi="Times New Roman"/>
          <w:color w:val="000000"/>
          <w:sz w:val="24"/>
          <w:szCs w:val="24"/>
        </w:rPr>
        <w:fldChar w:fldCharType="begin"/>
      </w:r>
      <w:r w:rsidR="003F13D4" w:rsidRPr="003F13D4">
        <w:rPr>
          <w:rFonts w:ascii="Times New Roman" w:hAnsi="Times New Roman"/>
          <w:color w:val="000000"/>
          <w:sz w:val="24"/>
          <w:szCs w:val="24"/>
        </w:rPr>
        <w:instrText>eq \o(\s\up 8(a ),\s\do 3(b))</w:instrText>
      </w:r>
      <w:r w:rsidR="00D01989" w:rsidRPr="003F13D4">
        <w:rPr>
          <w:rFonts w:ascii="Times New Roman" w:hAnsi="Times New Roman"/>
          <w:color w:val="000000"/>
          <w:sz w:val="24"/>
          <w:szCs w:val="24"/>
        </w:rPr>
        <w:fldChar w:fldCharType="end"/>
      </w:r>
      <w:r w:rsidR="003F13D4" w:rsidRPr="003F13D4">
        <w:rPr>
          <w:rFonts w:ascii="Times New Roman" w:hAnsi="Times New Roman"/>
          <w:color w:val="000000"/>
          <w:sz w:val="24"/>
          <w:szCs w:val="24"/>
        </w:rPr>
        <w:t xml:space="preserve">’? The philosopher I have in mind proposes the following answer: </w:t>
      </w:r>
    </w:p>
    <w:p w14:paraId="1B930697" w14:textId="77777777" w:rsidR="003F13D4" w:rsidRDefault="003F13D4" w:rsidP="003F13D4">
      <w:pPr>
        <w:pStyle w:val="StandardIndentCenter"/>
        <w:spacing w:before="0" w:after="0" w:line="240" w:lineRule="auto"/>
      </w:pPr>
      <w:r w:rsidRPr="003F13D4">
        <w:t>a exemplif</w:t>
      </w:r>
      <w:r w:rsidR="008E5B67">
        <w:t>i</w:t>
      </w:r>
      <w:r w:rsidRPr="003F13D4">
        <w:t>es green</w:t>
      </w:r>
      <w:r>
        <w:t>.” [107]</w:t>
      </w:r>
    </w:p>
    <w:p w14:paraId="60FCEBC8" w14:textId="291ADD08" w:rsidR="00FD4801" w:rsidRDefault="00F73205" w:rsidP="003F13D4">
      <w:pPr>
        <w:pStyle w:val="ListParagraph"/>
        <w:numPr>
          <w:ilvl w:val="0"/>
          <w:numId w:val="1"/>
        </w:numPr>
        <w:spacing w:before="240" w:line="240" w:lineRule="auto"/>
        <w:ind w:left="360"/>
        <w:contextualSpacing w:val="0"/>
        <w:rPr>
          <w:rFonts w:ascii="Times New Roman" w:hAnsi="Times New Roman"/>
          <w:sz w:val="24"/>
          <w:szCs w:val="24"/>
        </w:rPr>
      </w:pPr>
      <w:r>
        <w:rPr>
          <w:rFonts w:ascii="Times New Roman" w:hAnsi="Times New Roman"/>
          <w:sz w:val="24"/>
          <w:szCs w:val="24"/>
        </w:rPr>
        <w:t xml:space="preserve"> </w:t>
      </w:r>
      <w:r w:rsidR="003E5A1E">
        <w:rPr>
          <w:rFonts w:ascii="Times New Roman" w:hAnsi="Times New Roman"/>
          <w:sz w:val="24"/>
          <w:szCs w:val="24"/>
        </w:rPr>
        <w:t>“</w:t>
      </w:r>
      <w:r w:rsidR="003E5A1E" w:rsidRPr="003E5A1E">
        <w:rPr>
          <w:rFonts w:ascii="Times New Roman" w:hAnsi="Times New Roman"/>
          <w:sz w:val="24"/>
          <w:szCs w:val="24"/>
        </w:rPr>
        <w:t xml:space="preserve">I share with Professor Bergmann the sentiment which might be expressed by saying that </w:t>
      </w:r>
      <w:r w:rsidR="003E5A1E" w:rsidRPr="003E5A1E">
        <w:rPr>
          <w:rFonts w:ascii="Times New Roman" w:hAnsi="Times New Roman"/>
          <w:b/>
          <w:sz w:val="24"/>
          <w:szCs w:val="24"/>
        </w:rPr>
        <w:t>ordinary grammar is the paper money of wise men but the gold of fools</w:t>
      </w:r>
      <w:r w:rsidR="003E5A1E" w:rsidRPr="003E5A1E">
        <w:rPr>
          <w:rFonts w:ascii="Times New Roman" w:hAnsi="Times New Roman"/>
          <w:sz w:val="24"/>
          <w:szCs w:val="24"/>
        </w:rPr>
        <w:t>.</w:t>
      </w:r>
      <w:r w:rsidR="003E5A1E">
        <w:rPr>
          <w:rFonts w:ascii="Times New Roman" w:hAnsi="Times New Roman"/>
          <w:sz w:val="24"/>
          <w:szCs w:val="24"/>
        </w:rPr>
        <w:t>” [108]</w:t>
      </w:r>
    </w:p>
    <w:p w14:paraId="61EE4B6B" w14:textId="77777777" w:rsidR="00313E09" w:rsidRPr="00313E09" w:rsidRDefault="00313E09" w:rsidP="00313E09">
      <w:pPr>
        <w:pStyle w:val="ListParagraph"/>
        <w:numPr>
          <w:ilvl w:val="0"/>
          <w:numId w:val="1"/>
        </w:numPr>
        <w:spacing w:before="240" w:line="240" w:lineRule="auto"/>
        <w:ind w:left="360"/>
        <w:contextualSpacing w:val="0"/>
        <w:rPr>
          <w:rFonts w:ascii="Times New Roman" w:hAnsi="Times New Roman"/>
          <w:sz w:val="24"/>
          <w:szCs w:val="24"/>
        </w:rPr>
      </w:pPr>
      <w:r w:rsidRPr="00313E09">
        <w:rPr>
          <w:rFonts w:ascii="Times New Roman" w:hAnsi="Times New Roman"/>
          <w:sz w:val="24"/>
          <w:szCs w:val="24"/>
        </w:rPr>
        <w:t xml:space="preserve"> Summary:  </w:t>
      </w:r>
      <w:r>
        <w:rPr>
          <w:rFonts w:ascii="Times New Roman" w:hAnsi="Times New Roman"/>
          <w:sz w:val="24"/>
          <w:szCs w:val="24"/>
        </w:rPr>
        <w:t>“</w:t>
      </w:r>
      <w:r w:rsidRPr="00313E09">
        <w:rPr>
          <w:rFonts w:ascii="Times New Roman" w:hAnsi="Times New Roman"/>
          <w:color w:val="000000"/>
          <w:sz w:val="24"/>
          <w:szCs w:val="24"/>
        </w:rPr>
        <w:t xml:space="preserve">According to the Tractatus, then, the fact that a is below b is </w:t>
      </w:r>
      <w:r w:rsidRPr="00313E09">
        <w:rPr>
          <w:rFonts w:ascii="Times New Roman" w:hAnsi="Times New Roman"/>
          <w:i/>
          <w:color w:val="000000"/>
          <w:sz w:val="24"/>
          <w:szCs w:val="24"/>
        </w:rPr>
        <w:t>perspicuously</w:t>
      </w:r>
      <w:r w:rsidRPr="00313E09">
        <w:rPr>
          <w:rFonts w:ascii="Times New Roman" w:hAnsi="Times New Roman"/>
          <w:color w:val="000000"/>
          <w:sz w:val="24"/>
          <w:szCs w:val="24"/>
        </w:rPr>
        <w:t xml:space="preserve"> represented by an expression consisting of </w:t>
      </w:r>
      <w:r w:rsidRPr="00313E09">
        <w:rPr>
          <w:rFonts w:ascii="Times New Roman" w:hAnsi="Times New Roman"/>
          <w:i/>
          <w:color w:val="000000"/>
          <w:sz w:val="24"/>
          <w:szCs w:val="24"/>
        </w:rPr>
        <w:t>two</w:t>
      </w:r>
      <w:r w:rsidRPr="00313E09">
        <w:rPr>
          <w:rFonts w:ascii="Times New Roman" w:hAnsi="Times New Roman"/>
          <w:color w:val="000000"/>
          <w:sz w:val="24"/>
          <w:szCs w:val="24"/>
        </w:rPr>
        <w:t xml:space="preserve"> names dyadically related, and </w:t>
      </w:r>
      <w:r w:rsidRPr="00313E09">
        <w:rPr>
          <w:rFonts w:ascii="Times New Roman" w:hAnsi="Times New Roman"/>
          <w:i/>
          <w:color w:val="000000"/>
          <w:sz w:val="24"/>
          <w:szCs w:val="24"/>
        </w:rPr>
        <w:t>unperspicuously</w:t>
      </w:r>
      <w:r w:rsidRPr="00313E09">
        <w:rPr>
          <w:rFonts w:ascii="Times New Roman" w:hAnsi="Times New Roman"/>
          <w:color w:val="000000"/>
          <w:sz w:val="24"/>
          <w:szCs w:val="24"/>
        </w:rPr>
        <w:t xml:space="preserve"> represented by an expression containing, in addition to these two names, a two-place predicate expression. According to Professor Bergmann, if I understand him correctly, such facts as that </w:t>
      </w:r>
      <w:r w:rsidRPr="00313E09">
        <w:rPr>
          <w:rFonts w:ascii="Times New Roman" w:hAnsi="Times New Roman"/>
          <w:i/>
          <w:color w:val="000000"/>
          <w:sz w:val="24"/>
          <w:szCs w:val="24"/>
        </w:rPr>
        <w:t>a</w:t>
      </w:r>
      <w:r w:rsidRPr="00313E09">
        <w:rPr>
          <w:rFonts w:ascii="Times New Roman" w:hAnsi="Times New Roman"/>
          <w:color w:val="000000"/>
          <w:sz w:val="24"/>
          <w:szCs w:val="24"/>
        </w:rPr>
        <w:t xml:space="preserve"> is below </w:t>
      </w:r>
      <w:r w:rsidRPr="00313E09">
        <w:rPr>
          <w:rFonts w:ascii="Times New Roman" w:hAnsi="Times New Roman"/>
          <w:i/>
          <w:color w:val="000000"/>
          <w:sz w:val="24"/>
          <w:szCs w:val="24"/>
        </w:rPr>
        <w:t>b</w:t>
      </w:r>
      <w:r w:rsidRPr="00313E09">
        <w:rPr>
          <w:rFonts w:ascii="Times New Roman" w:hAnsi="Times New Roman"/>
          <w:color w:val="000000"/>
          <w:sz w:val="24"/>
          <w:szCs w:val="24"/>
        </w:rPr>
        <w:t xml:space="preserve"> are perspicuously represented by expressions consisting of </w:t>
      </w:r>
      <w:r w:rsidRPr="00313E09">
        <w:rPr>
          <w:rFonts w:ascii="Times New Roman" w:hAnsi="Times New Roman"/>
          <w:i/>
          <w:color w:val="000000"/>
          <w:sz w:val="24"/>
          <w:szCs w:val="24"/>
        </w:rPr>
        <w:t>three</w:t>
      </w:r>
      <w:r w:rsidRPr="00313E09">
        <w:rPr>
          <w:rFonts w:ascii="Times New Roman" w:hAnsi="Times New Roman"/>
          <w:color w:val="000000"/>
          <w:sz w:val="24"/>
          <w:szCs w:val="24"/>
        </w:rPr>
        <w:t xml:space="preserve"> names triadically related, and unperspicuously represented by an expression containing, in addition to these three names (suitably punctuated) an expression having the force of ‘exemplifes’. What exactly does this difference amount to? And which view is closer to the truth?</w:t>
      </w:r>
      <w:r>
        <w:rPr>
          <w:rFonts w:ascii="Times New Roman" w:hAnsi="Times New Roman"/>
          <w:color w:val="000000"/>
          <w:sz w:val="24"/>
          <w:szCs w:val="24"/>
        </w:rPr>
        <w:t>” [108]</w:t>
      </w:r>
      <w:r w:rsidRPr="00313E09">
        <w:rPr>
          <w:rFonts w:ascii="Times New Roman" w:hAnsi="Times New Roman"/>
          <w:color w:val="000000"/>
          <w:sz w:val="24"/>
          <w:szCs w:val="24"/>
        </w:rPr>
        <w:t xml:space="preserve"> </w:t>
      </w:r>
    </w:p>
    <w:p w14:paraId="0DD03A11" w14:textId="77777777" w:rsidR="00FD4801" w:rsidRPr="003F13D4" w:rsidRDefault="00E42AD3" w:rsidP="003F13D4">
      <w:pPr>
        <w:pStyle w:val="ListParagraph"/>
        <w:numPr>
          <w:ilvl w:val="0"/>
          <w:numId w:val="1"/>
        </w:numPr>
        <w:spacing w:before="240" w:line="240" w:lineRule="auto"/>
        <w:ind w:left="360"/>
        <w:contextualSpacing w:val="0"/>
        <w:rPr>
          <w:rFonts w:ascii="Times New Roman" w:hAnsi="Times New Roman"/>
          <w:sz w:val="24"/>
          <w:szCs w:val="24"/>
        </w:rPr>
      </w:pPr>
      <w:r>
        <w:rPr>
          <w:rFonts w:ascii="Times New Roman" w:hAnsi="Times New Roman"/>
          <w:sz w:val="24"/>
          <w:szCs w:val="24"/>
        </w:rPr>
        <w:t>“[T]</w:t>
      </w:r>
      <w:r w:rsidRPr="00E42AD3">
        <w:rPr>
          <w:rFonts w:ascii="Times New Roman" w:hAnsi="Times New Roman"/>
          <w:sz w:val="24"/>
          <w:szCs w:val="24"/>
        </w:rPr>
        <w:t>he difference can be reformulated in such a way as to bring out its kinship with the old issue between realists and nominalists. Wittgenstein is telling us that the only objects in the world are particulars, Bergmann is telling us that the world includes as objects both particulars and universals.</w:t>
      </w:r>
      <w:r>
        <w:rPr>
          <w:rFonts w:ascii="Times New Roman" w:hAnsi="Times New Roman"/>
          <w:sz w:val="24"/>
          <w:szCs w:val="24"/>
        </w:rPr>
        <w:t>”  [108]</w:t>
      </w:r>
    </w:p>
    <w:p w14:paraId="08504AC3" w14:textId="77777777" w:rsidR="00B97AF2" w:rsidRDefault="008B12E8" w:rsidP="003F13D4">
      <w:pPr>
        <w:pStyle w:val="ListParagraph"/>
        <w:numPr>
          <w:ilvl w:val="0"/>
          <w:numId w:val="1"/>
        </w:numPr>
        <w:spacing w:before="240" w:line="240" w:lineRule="auto"/>
        <w:ind w:left="360"/>
        <w:contextualSpacing w:val="0"/>
        <w:rPr>
          <w:rFonts w:ascii="Times New Roman" w:hAnsi="Times New Roman"/>
          <w:sz w:val="24"/>
          <w:szCs w:val="24"/>
        </w:rPr>
      </w:pPr>
      <w:r>
        <w:rPr>
          <w:rFonts w:ascii="Times New Roman" w:hAnsi="Times New Roman"/>
          <w:sz w:val="24"/>
          <w:szCs w:val="24"/>
        </w:rPr>
        <w:t>“</w:t>
      </w:r>
      <w:r w:rsidRPr="008B12E8">
        <w:rPr>
          <w:rFonts w:ascii="Times New Roman" w:hAnsi="Times New Roman"/>
          <w:sz w:val="24"/>
          <w:szCs w:val="24"/>
        </w:rPr>
        <w:t xml:space="preserve">If we so use the term ‘relation’ that to say of something that it is a relation is to say that it is perspicuously represented in discourse by a configuration of expressions rather than by the use of a separate expression, then </w:t>
      </w:r>
      <w:r w:rsidRPr="003A2A95">
        <w:rPr>
          <w:rFonts w:ascii="Times New Roman" w:hAnsi="Times New Roman"/>
          <w:b/>
          <w:sz w:val="24"/>
          <w:szCs w:val="24"/>
        </w:rPr>
        <w:t>for Bergmann there is</w:t>
      </w:r>
      <w:r w:rsidR="003A2A95" w:rsidRPr="003A2A95">
        <w:rPr>
          <w:rFonts w:ascii="Times New Roman" w:hAnsi="Times New Roman"/>
          <w:sz w:val="24"/>
          <w:szCs w:val="24"/>
        </w:rPr>
        <w:t>…</w:t>
      </w:r>
      <w:r w:rsidRPr="003A2A95">
        <w:rPr>
          <w:rFonts w:ascii="Times New Roman" w:hAnsi="Times New Roman"/>
          <w:b/>
          <w:sz w:val="24"/>
          <w:szCs w:val="24"/>
        </w:rPr>
        <w:t xml:space="preserve">only </w:t>
      </w:r>
      <w:r w:rsidRPr="003A2A95">
        <w:rPr>
          <w:rFonts w:ascii="Times New Roman" w:hAnsi="Times New Roman"/>
          <w:b/>
          <w:i/>
          <w:sz w:val="24"/>
          <w:szCs w:val="24"/>
        </w:rPr>
        <w:t>one</w:t>
      </w:r>
      <w:r w:rsidRPr="003A2A95">
        <w:rPr>
          <w:rFonts w:ascii="Times New Roman" w:hAnsi="Times New Roman"/>
          <w:b/>
          <w:sz w:val="24"/>
          <w:szCs w:val="24"/>
        </w:rPr>
        <w:t xml:space="preserve"> relation, i.e. exemplification, and what are ordinarily said to be relations, for example </w:t>
      </w:r>
      <w:r w:rsidRPr="003A2A95">
        <w:rPr>
          <w:rFonts w:ascii="Times New Roman" w:hAnsi="Times New Roman"/>
          <w:b/>
          <w:i/>
          <w:sz w:val="24"/>
          <w:szCs w:val="24"/>
        </w:rPr>
        <w:t>below</w:t>
      </w:r>
      <w:r w:rsidRPr="003A2A95">
        <w:rPr>
          <w:rFonts w:ascii="Times New Roman" w:hAnsi="Times New Roman"/>
          <w:b/>
          <w:sz w:val="24"/>
          <w:szCs w:val="24"/>
        </w:rPr>
        <w:t xml:space="preserve">, would occur in the world as </w:t>
      </w:r>
      <w:r w:rsidRPr="003A2A95">
        <w:rPr>
          <w:rFonts w:ascii="Times New Roman" w:hAnsi="Times New Roman"/>
          <w:b/>
          <w:i/>
          <w:sz w:val="24"/>
          <w:szCs w:val="24"/>
        </w:rPr>
        <w:t>relata</w:t>
      </w:r>
      <w:r w:rsidRPr="008B12E8">
        <w:rPr>
          <w:rFonts w:ascii="Times New Roman" w:hAnsi="Times New Roman"/>
          <w:sz w:val="24"/>
          <w:szCs w:val="24"/>
        </w:rPr>
        <w:t>.</w:t>
      </w:r>
      <w:r>
        <w:rPr>
          <w:rFonts w:ascii="Times New Roman" w:hAnsi="Times New Roman"/>
          <w:sz w:val="24"/>
          <w:szCs w:val="24"/>
        </w:rPr>
        <w:t>” [109]</w:t>
      </w:r>
    </w:p>
    <w:p w14:paraId="0B50D13E" w14:textId="77777777" w:rsidR="004C7D8E" w:rsidRPr="004C7D8E" w:rsidRDefault="004C7D8E" w:rsidP="004C7D8E">
      <w:pPr>
        <w:pStyle w:val="ListParagraph"/>
        <w:numPr>
          <w:ilvl w:val="0"/>
          <w:numId w:val="1"/>
        </w:numPr>
        <w:spacing w:before="240" w:after="0" w:line="240" w:lineRule="auto"/>
        <w:ind w:left="360"/>
        <w:contextualSpacing w:val="0"/>
        <w:rPr>
          <w:rFonts w:ascii="Times New Roman" w:hAnsi="Times New Roman"/>
          <w:sz w:val="24"/>
          <w:szCs w:val="24"/>
        </w:rPr>
      </w:pPr>
      <w:r w:rsidRPr="004C7D8E">
        <w:rPr>
          <w:rFonts w:ascii="Times New Roman" w:hAnsi="Times New Roman"/>
          <w:sz w:val="24"/>
          <w:szCs w:val="24"/>
        </w:rPr>
        <w:lastRenderedPageBreak/>
        <w:t>“</w:t>
      </w:r>
      <w:r w:rsidRPr="004C7D8E">
        <w:rPr>
          <w:rFonts w:ascii="Times New Roman" w:hAnsi="Times New Roman"/>
          <w:color w:val="000000"/>
          <w:sz w:val="24"/>
          <w:szCs w:val="24"/>
        </w:rPr>
        <w:t xml:space="preserve">To keep matters straight, it will be useful to introduce the term ‘nexus’ in such a way that </w:t>
      </w:r>
      <w:r w:rsidRPr="00401706">
        <w:rPr>
          <w:rFonts w:ascii="Times New Roman" w:hAnsi="Times New Roman"/>
          <w:b/>
          <w:color w:val="000000"/>
          <w:sz w:val="24"/>
          <w:szCs w:val="24"/>
        </w:rPr>
        <w:t>to say of something that it is a nexus is to say that it is perspicuously represented in discourse by a configuration of expressions rather than by a separate expression</w:t>
      </w:r>
      <w:r w:rsidRPr="004C7D8E">
        <w:rPr>
          <w:rFonts w:ascii="Times New Roman" w:hAnsi="Times New Roman"/>
          <w:color w:val="000000"/>
          <w:sz w:val="24"/>
          <w:szCs w:val="24"/>
        </w:rPr>
        <w:t xml:space="preserve">. If we do this, we can contrast Bergmann and Wittgenstein as follows: </w:t>
      </w:r>
    </w:p>
    <w:p w14:paraId="3677E60E" w14:textId="77777777" w:rsidR="004C7D8E" w:rsidRPr="004C7D8E" w:rsidRDefault="004C7D8E" w:rsidP="004C7D8E">
      <w:pPr>
        <w:pStyle w:val="StandardIndent"/>
        <w:spacing w:before="0" w:after="0" w:line="240" w:lineRule="auto"/>
      </w:pPr>
      <w:r w:rsidRPr="004C7D8E">
        <w:rPr>
          <w:i/>
        </w:rPr>
        <w:t>Wittgenstein</w:t>
      </w:r>
      <w:r w:rsidRPr="004C7D8E">
        <w:t xml:space="preserve">: There are many nexus in the world. Simple relations of matter of fact are </w:t>
      </w:r>
      <w:r w:rsidRPr="004C7D8E">
        <w:rPr>
          <w:i/>
        </w:rPr>
        <w:t>nexus</w:t>
      </w:r>
      <w:r w:rsidRPr="004C7D8E">
        <w:t>. All objects or individuals which form a nexus are particulars, i.e. individuals of type 0. There is no relation or nexus of exemplif</w:t>
      </w:r>
      <w:r w:rsidR="00395F19">
        <w:t>i</w:t>
      </w:r>
      <w:r w:rsidRPr="004C7D8E">
        <w:t xml:space="preserve">cation in the world. </w:t>
      </w:r>
    </w:p>
    <w:p w14:paraId="30C17935" w14:textId="77777777" w:rsidR="004C7D8E" w:rsidRPr="004C7D8E" w:rsidRDefault="004C7D8E" w:rsidP="004C7D8E">
      <w:pPr>
        <w:pStyle w:val="StandardIndent"/>
        <w:spacing w:before="0" w:after="0" w:line="240" w:lineRule="auto"/>
      </w:pPr>
      <w:r w:rsidRPr="004C7D8E">
        <w:rPr>
          <w:i/>
        </w:rPr>
        <w:t>Bergmann</w:t>
      </w:r>
      <w:r w:rsidRPr="004C7D8E">
        <w:t>: There is only one nexus, exemplif</w:t>
      </w:r>
      <w:r w:rsidR="00395F19">
        <w:t>i</w:t>
      </w:r>
      <w:r w:rsidRPr="004C7D8E">
        <w:t xml:space="preserve">cation. Every atomic state of affairs contains at least one (and, if the thesis of elementarism be true, at most one) individual which is not a particular. </w:t>
      </w:r>
    </w:p>
    <w:p w14:paraId="0953C318" w14:textId="06FA39F0" w:rsidR="004C7D8E" w:rsidRPr="004C7D8E" w:rsidRDefault="004C7D8E" w:rsidP="00F73205">
      <w:pPr>
        <w:widowControl w:val="0"/>
        <w:autoSpaceDE w:val="0"/>
        <w:autoSpaceDN w:val="0"/>
        <w:adjustRightInd w:val="0"/>
        <w:spacing w:after="0" w:line="240" w:lineRule="auto"/>
        <w:ind w:left="288" w:right="58"/>
        <w:rPr>
          <w:rFonts w:ascii="Times New Roman" w:hAnsi="Times New Roman"/>
          <w:color w:val="000000"/>
          <w:sz w:val="24"/>
          <w:szCs w:val="24"/>
        </w:rPr>
      </w:pPr>
      <w:r w:rsidRPr="004C7D8E">
        <w:rPr>
          <w:rFonts w:ascii="Times New Roman" w:hAnsi="Times New Roman"/>
          <w:color w:val="000000"/>
          <w:sz w:val="24"/>
          <w:szCs w:val="24"/>
        </w:rPr>
        <w:t>If one so uses the term ‘ineffable’ that to eff something is to signify it by using a name, then Wittgenstein’s view would be that what are ordinarily called relations are ineffable, for they are all nexus and are expressed (whether perspicuously or not) by configurations of names. For Bergmann, on the other hand, what are ordinarily called relations are effed; it is exemplification which is ineffable.</w:t>
      </w:r>
      <w:r>
        <w:rPr>
          <w:rFonts w:ascii="Times New Roman" w:hAnsi="Times New Roman"/>
          <w:color w:val="000000"/>
          <w:sz w:val="24"/>
          <w:szCs w:val="24"/>
        </w:rPr>
        <w:t>” [109]</w:t>
      </w:r>
      <w:r w:rsidRPr="004C7D8E">
        <w:rPr>
          <w:rFonts w:ascii="Times New Roman" w:hAnsi="Times New Roman"/>
          <w:color w:val="000000"/>
          <w:sz w:val="24"/>
          <w:szCs w:val="24"/>
        </w:rPr>
        <w:t xml:space="preserve"> </w:t>
      </w:r>
    </w:p>
    <w:p w14:paraId="6D702537" w14:textId="475FF7B8" w:rsidR="00395F19" w:rsidRPr="00395F19" w:rsidRDefault="00A67699" w:rsidP="00395F19">
      <w:pPr>
        <w:pStyle w:val="ListParagraph"/>
        <w:numPr>
          <w:ilvl w:val="0"/>
          <w:numId w:val="1"/>
        </w:numPr>
        <w:spacing w:before="240" w:line="240" w:lineRule="auto"/>
        <w:ind w:left="360"/>
        <w:contextualSpacing w:val="0"/>
        <w:rPr>
          <w:rFonts w:ascii="Times New Roman" w:hAnsi="Times New Roman"/>
          <w:sz w:val="24"/>
          <w:szCs w:val="24"/>
        </w:rPr>
      </w:pPr>
      <w:r>
        <w:rPr>
          <w:rFonts w:ascii="Times New Roman" w:hAnsi="Times New Roman"/>
          <w:sz w:val="24"/>
          <w:szCs w:val="24"/>
        </w:rPr>
        <w:t xml:space="preserve"> </w:t>
      </w:r>
      <w:r w:rsidR="00E847AD">
        <w:rPr>
          <w:rFonts w:ascii="Times New Roman" w:hAnsi="Times New Roman"/>
          <w:sz w:val="24"/>
          <w:szCs w:val="24"/>
        </w:rPr>
        <w:t xml:space="preserve">Discussion of attributions of </w:t>
      </w:r>
      <w:r w:rsidR="00E847AD">
        <w:rPr>
          <w:rFonts w:ascii="Times New Roman" w:hAnsi="Times New Roman"/>
          <w:i/>
          <w:sz w:val="24"/>
          <w:szCs w:val="24"/>
        </w:rPr>
        <w:t>monadic</w:t>
      </w:r>
      <w:r w:rsidR="00E847AD">
        <w:rPr>
          <w:rFonts w:ascii="Times New Roman" w:hAnsi="Times New Roman"/>
          <w:sz w:val="24"/>
          <w:szCs w:val="24"/>
        </w:rPr>
        <w:t xml:space="preserve"> properties as “configurations of objects”:  “[C]ould there be a configuration of one object?” [110]  He discusses passages, and concludes: “the cumulative effect is to buttress the thesis that there is no provision in the </w:t>
      </w:r>
      <w:r w:rsidR="00E847AD">
        <w:rPr>
          <w:rFonts w:ascii="Times New Roman" w:hAnsi="Times New Roman"/>
          <w:i/>
          <w:sz w:val="24"/>
          <w:szCs w:val="24"/>
        </w:rPr>
        <w:t>Tractatus</w:t>
      </w:r>
      <w:r w:rsidR="00E847AD">
        <w:rPr>
          <w:rFonts w:ascii="Times New Roman" w:hAnsi="Times New Roman"/>
          <w:sz w:val="24"/>
          <w:szCs w:val="24"/>
        </w:rPr>
        <w:t xml:space="preserve"> for monadic atomic facts.”  [110]</w:t>
      </w:r>
      <w:r w:rsidR="00F017DA">
        <w:rPr>
          <w:rFonts w:ascii="Times New Roman" w:hAnsi="Times New Roman"/>
          <w:sz w:val="24"/>
          <w:szCs w:val="24"/>
        </w:rPr>
        <w:t xml:space="preserve">  “</w:t>
      </w:r>
      <w:r w:rsidR="00395F19" w:rsidRPr="00395F19">
        <w:rPr>
          <w:rFonts w:ascii="Times New Roman" w:hAnsi="Times New Roman"/>
          <w:color w:val="000000"/>
          <w:sz w:val="24"/>
          <w:szCs w:val="24"/>
        </w:rPr>
        <w:t>Thus one can imagine a philosopher who says that in a perspicuous language, monadic atomic facts would be represented by writing the name of the single object they contain in various colors or in various styles of type. The idea is a familiar one. Is there any reason to suppose that it was not available to Wittgenstein?</w:t>
      </w:r>
      <w:r w:rsidR="00395F19">
        <w:rPr>
          <w:rFonts w:ascii="Times New Roman" w:hAnsi="Times New Roman"/>
          <w:color w:val="000000"/>
          <w:sz w:val="24"/>
          <w:szCs w:val="24"/>
        </w:rPr>
        <w:t>” [110</w:t>
      </w:r>
      <w:r w:rsidR="00F73205">
        <w:rPr>
          <w:rFonts w:ascii="Times New Roman" w:hAnsi="Times New Roman"/>
          <w:color w:val="000000"/>
          <w:sz w:val="24"/>
          <w:szCs w:val="24"/>
        </w:rPr>
        <w:t>]</w:t>
      </w:r>
      <w:r w:rsidR="00395F19" w:rsidRPr="00395F19">
        <w:rPr>
          <w:rFonts w:ascii="Times New Roman" w:hAnsi="Times New Roman"/>
          <w:color w:val="000000"/>
          <w:sz w:val="24"/>
          <w:szCs w:val="24"/>
        </w:rPr>
        <w:t xml:space="preserve"> </w:t>
      </w:r>
    </w:p>
    <w:p w14:paraId="0250A359" w14:textId="77777777" w:rsidR="00B97AF2" w:rsidRDefault="006A0AD0" w:rsidP="003F13D4">
      <w:pPr>
        <w:pStyle w:val="ListParagraph"/>
        <w:numPr>
          <w:ilvl w:val="0"/>
          <w:numId w:val="1"/>
        </w:numPr>
        <w:spacing w:before="240" w:line="240" w:lineRule="auto"/>
        <w:ind w:left="360"/>
        <w:contextualSpacing w:val="0"/>
        <w:rPr>
          <w:rFonts w:ascii="Times New Roman" w:hAnsi="Times New Roman"/>
          <w:sz w:val="24"/>
          <w:szCs w:val="24"/>
        </w:rPr>
      </w:pPr>
      <w:r>
        <w:rPr>
          <w:rFonts w:ascii="Times New Roman" w:hAnsi="Times New Roman"/>
          <w:sz w:val="24"/>
          <w:szCs w:val="24"/>
        </w:rPr>
        <w:t xml:space="preserve">Next, Jumblese is extended to variables.  First point is that there can be “neutral styles” of writing names, in which they are </w:t>
      </w:r>
      <w:r>
        <w:rPr>
          <w:rFonts w:ascii="Times New Roman" w:hAnsi="Times New Roman"/>
          <w:i/>
          <w:sz w:val="24"/>
          <w:szCs w:val="24"/>
        </w:rPr>
        <w:t>just</w:t>
      </w:r>
      <w:r>
        <w:rPr>
          <w:rFonts w:ascii="Times New Roman" w:hAnsi="Times New Roman"/>
          <w:sz w:val="24"/>
          <w:szCs w:val="24"/>
        </w:rPr>
        <w:t xml:space="preserve"> names, not yet claims.  </w:t>
      </w:r>
      <w:r w:rsidR="00C55DB2">
        <w:rPr>
          <w:rFonts w:ascii="Times New Roman" w:hAnsi="Times New Roman"/>
          <w:sz w:val="24"/>
          <w:szCs w:val="24"/>
        </w:rPr>
        <w:t>It is important to WS to work out how Jumblese might handle these things.  It is enough for us that it can.  He concludes:  “</w:t>
      </w:r>
      <w:r w:rsidR="00C55DB2" w:rsidRPr="00C55DB2">
        <w:rPr>
          <w:rFonts w:ascii="Times New Roman" w:hAnsi="Times New Roman"/>
          <w:sz w:val="24"/>
          <w:szCs w:val="24"/>
        </w:rPr>
        <w:t>The topic of perspicuousness with respect to variables and quantification is an interesting and important one in its own right, and the above remarks have barely scratched the surface.</w:t>
      </w:r>
      <w:r w:rsidR="00C55DB2">
        <w:rPr>
          <w:rFonts w:ascii="Times New Roman" w:hAnsi="Times New Roman"/>
          <w:sz w:val="24"/>
          <w:szCs w:val="24"/>
        </w:rPr>
        <w:t xml:space="preserve">” [114]  It is, however, a detour and a distraction from his line of argument.  </w:t>
      </w:r>
    </w:p>
    <w:p w14:paraId="6A974441" w14:textId="77777777" w:rsidR="006A0AD0" w:rsidRDefault="00755726" w:rsidP="003F13D4">
      <w:pPr>
        <w:pStyle w:val="ListParagraph"/>
        <w:numPr>
          <w:ilvl w:val="0"/>
          <w:numId w:val="1"/>
        </w:numPr>
        <w:spacing w:before="240" w:line="240" w:lineRule="auto"/>
        <w:ind w:left="360"/>
        <w:contextualSpacing w:val="0"/>
        <w:rPr>
          <w:rFonts w:ascii="Times New Roman" w:hAnsi="Times New Roman"/>
          <w:sz w:val="24"/>
          <w:szCs w:val="24"/>
        </w:rPr>
      </w:pPr>
      <w:r>
        <w:rPr>
          <w:rFonts w:ascii="Times New Roman" w:hAnsi="Times New Roman"/>
          <w:sz w:val="24"/>
          <w:szCs w:val="24"/>
        </w:rPr>
        <w:t>He discusses a bad argument about perspicuity that might lead one to the Bergmannian view:  “</w:t>
      </w:r>
      <w:r w:rsidRPr="00755726">
        <w:rPr>
          <w:rFonts w:ascii="Times New Roman" w:hAnsi="Times New Roman"/>
          <w:sz w:val="24"/>
          <w:szCs w:val="24"/>
        </w:rPr>
        <w:t xml:space="preserve">As I see it, therefore, it is of crucial importance to ontology not to confuse the contrast between </w:t>
      </w:r>
      <w:r w:rsidRPr="00755726">
        <w:rPr>
          <w:rFonts w:ascii="Times New Roman" w:hAnsi="Times New Roman"/>
          <w:i/>
          <w:sz w:val="24"/>
          <w:szCs w:val="24"/>
        </w:rPr>
        <w:t>constant</w:t>
      </w:r>
      <w:r w:rsidRPr="00755726">
        <w:rPr>
          <w:rFonts w:ascii="Times New Roman" w:hAnsi="Times New Roman"/>
          <w:sz w:val="24"/>
          <w:szCs w:val="24"/>
        </w:rPr>
        <w:t xml:space="preserve"> and </w:t>
      </w:r>
      <w:r w:rsidRPr="00755726">
        <w:rPr>
          <w:rFonts w:ascii="Times New Roman" w:hAnsi="Times New Roman"/>
          <w:i/>
          <w:sz w:val="24"/>
          <w:szCs w:val="24"/>
        </w:rPr>
        <w:t>variable</w:t>
      </w:r>
      <w:r w:rsidRPr="00755726">
        <w:rPr>
          <w:rFonts w:ascii="Times New Roman" w:hAnsi="Times New Roman"/>
          <w:sz w:val="24"/>
          <w:szCs w:val="24"/>
        </w:rPr>
        <w:t xml:space="preserve"> with that between </w:t>
      </w:r>
      <w:r w:rsidRPr="00755726">
        <w:rPr>
          <w:rFonts w:ascii="Times New Roman" w:hAnsi="Times New Roman"/>
          <w:i/>
          <w:sz w:val="24"/>
          <w:szCs w:val="24"/>
        </w:rPr>
        <w:t>name</w:t>
      </w:r>
      <w:r w:rsidRPr="00755726">
        <w:rPr>
          <w:rFonts w:ascii="Times New Roman" w:hAnsi="Times New Roman"/>
          <w:sz w:val="24"/>
          <w:szCs w:val="24"/>
        </w:rPr>
        <w:t xml:space="preserve"> and </w:t>
      </w:r>
      <w:r w:rsidRPr="00755726">
        <w:rPr>
          <w:rFonts w:ascii="Times New Roman" w:hAnsi="Times New Roman"/>
          <w:i/>
          <w:sz w:val="24"/>
          <w:szCs w:val="24"/>
        </w:rPr>
        <w:t>variable</w:t>
      </w:r>
      <w:r w:rsidRPr="00755726">
        <w:rPr>
          <w:rFonts w:ascii="Times New Roman" w:hAnsi="Times New Roman"/>
          <w:sz w:val="24"/>
          <w:szCs w:val="24"/>
        </w:rPr>
        <w:t>.</w:t>
      </w:r>
      <w:r>
        <w:rPr>
          <w:rFonts w:ascii="Times New Roman" w:hAnsi="Times New Roman"/>
          <w:sz w:val="24"/>
          <w:szCs w:val="24"/>
        </w:rPr>
        <w:t xml:space="preserve">” [114]  The important thing is that there can be </w:t>
      </w:r>
      <w:r>
        <w:rPr>
          <w:rFonts w:ascii="Times New Roman" w:hAnsi="Times New Roman"/>
          <w:i/>
          <w:sz w:val="24"/>
          <w:szCs w:val="24"/>
        </w:rPr>
        <w:t>predicate constants</w:t>
      </w:r>
      <w:r>
        <w:rPr>
          <w:rFonts w:ascii="Times New Roman" w:hAnsi="Times New Roman"/>
          <w:sz w:val="24"/>
          <w:szCs w:val="24"/>
        </w:rPr>
        <w:t xml:space="preserve">, even in Jumblese, without our being obliged to understand them as </w:t>
      </w:r>
      <w:r>
        <w:rPr>
          <w:rFonts w:ascii="Times New Roman" w:hAnsi="Times New Roman"/>
          <w:i/>
          <w:sz w:val="24"/>
          <w:szCs w:val="24"/>
        </w:rPr>
        <w:t>names</w:t>
      </w:r>
      <w:r>
        <w:rPr>
          <w:rFonts w:ascii="Times New Roman" w:hAnsi="Times New Roman"/>
          <w:sz w:val="24"/>
          <w:szCs w:val="24"/>
        </w:rPr>
        <w:t>.</w:t>
      </w:r>
    </w:p>
    <w:p w14:paraId="482250ED" w14:textId="77777777" w:rsidR="00667F14" w:rsidRPr="00667F14" w:rsidRDefault="00667F14" w:rsidP="00667F14">
      <w:pPr>
        <w:pStyle w:val="ListParagraph"/>
        <w:numPr>
          <w:ilvl w:val="0"/>
          <w:numId w:val="1"/>
        </w:numPr>
        <w:spacing w:before="240" w:after="0" w:line="240" w:lineRule="auto"/>
        <w:ind w:left="360"/>
        <w:contextualSpacing w:val="0"/>
        <w:rPr>
          <w:rFonts w:ascii="Times New Roman" w:hAnsi="Times New Roman"/>
          <w:sz w:val="24"/>
          <w:szCs w:val="24"/>
        </w:rPr>
      </w:pPr>
      <w:r>
        <w:rPr>
          <w:rFonts w:ascii="Times New Roman" w:hAnsi="Times New Roman"/>
          <w:sz w:val="24"/>
          <w:szCs w:val="24"/>
        </w:rPr>
        <w:t>The conclusion is this:</w:t>
      </w:r>
      <w:r w:rsidRPr="00667F14">
        <w:rPr>
          <w:rFonts w:ascii="Times New Roman" w:hAnsi="Times New Roman"/>
          <w:sz w:val="24"/>
          <w:szCs w:val="24"/>
        </w:rPr>
        <w:t>“</w:t>
      </w:r>
      <w:r w:rsidRPr="00667F14">
        <w:rPr>
          <w:rFonts w:ascii="Times New Roman" w:hAnsi="Times New Roman"/>
          <w:color w:val="000000"/>
          <w:sz w:val="24"/>
          <w:szCs w:val="24"/>
        </w:rPr>
        <w:t xml:space="preserve">But I see no reason to infer that because the expression’s being a case of a certain name, and the expression’s pertaining to green are each bound up with a monadic (though not, of course, atomic) fact about the expression, that both its being about a and its being about green come into the picture in the same way, i.e. that they are both </w:t>
      </w:r>
      <w:r w:rsidRPr="00667F14">
        <w:rPr>
          <w:rFonts w:ascii="Times New Roman" w:hAnsi="Times New Roman"/>
          <w:i/>
          <w:color w:val="000000"/>
          <w:sz w:val="24"/>
          <w:szCs w:val="24"/>
        </w:rPr>
        <w:t>named</w:t>
      </w:r>
      <w:r w:rsidRPr="00667F14">
        <w:rPr>
          <w:rFonts w:ascii="Times New Roman" w:hAnsi="Times New Roman"/>
          <w:color w:val="000000"/>
          <w:sz w:val="24"/>
          <w:szCs w:val="24"/>
        </w:rPr>
        <w:t xml:space="preserve">. </w:t>
      </w:r>
    </w:p>
    <w:p w14:paraId="6787605F" w14:textId="77777777" w:rsidR="00667F14" w:rsidRDefault="00667F14" w:rsidP="0038752A">
      <w:pPr>
        <w:widowControl w:val="0"/>
        <w:autoSpaceDE w:val="0"/>
        <w:autoSpaceDN w:val="0"/>
        <w:adjustRightInd w:val="0"/>
        <w:spacing w:after="0" w:line="240" w:lineRule="auto"/>
        <w:ind w:left="288" w:right="58" w:firstLine="720"/>
        <w:rPr>
          <w:color w:val="000000"/>
        </w:rPr>
      </w:pPr>
      <w:r w:rsidRPr="00667F14">
        <w:rPr>
          <w:rFonts w:ascii="Times New Roman" w:hAnsi="Times New Roman"/>
          <w:color w:val="000000"/>
          <w:sz w:val="24"/>
          <w:szCs w:val="24"/>
        </w:rPr>
        <w:t xml:space="preserve">For </w:t>
      </w:r>
      <w:r w:rsidRPr="00066065">
        <w:rPr>
          <w:rFonts w:ascii="Times New Roman" w:hAnsi="Times New Roman"/>
          <w:b/>
          <w:color w:val="000000"/>
          <w:sz w:val="24"/>
          <w:szCs w:val="24"/>
        </w:rPr>
        <w:t xml:space="preserve">the being about a and the being about green could each be true of the expression by virtue of monadic facts about it, and still not pertain to its meaning </w:t>
      </w:r>
      <w:r w:rsidRPr="00066065">
        <w:rPr>
          <w:rFonts w:ascii="Times New Roman" w:hAnsi="Times New Roman"/>
          <w:b/>
          <w:i/>
          <w:color w:val="000000"/>
          <w:sz w:val="24"/>
          <w:szCs w:val="24"/>
        </w:rPr>
        <w:t>in the same way</w:t>
      </w:r>
      <w:r w:rsidRPr="00066065">
        <w:rPr>
          <w:rFonts w:ascii="Times New Roman" w:hAnsi="Times New Roman"/>
          <w:b/>
          <w:color w:val="000000"/>
          <w:sz w:val="24"/>
          <w:szCs w:val="24"/>
        </w:rPr>
        <w:t xml:space="preserve"> in any more important sense</w:t>
      </w:r>
      <w:r w:rsidRPr="00667F14">
        <w:rPr>
          <w:rFonts w:ascii="Times New Roman" w:hAnsi="Times New Roman"/>
          <w:color w:val="000000"/>
          <w:sz w:val="24"/>
          <w:szCs w:val="24"/>
        </w:rPr>
        <w:t xml:space="preserve">. The crucial thing about an expression is the role it plays in the language, and </w:t>
      </w:r>
      <w:r w:rsidRPr="00066065">
        <w:rPr>
          <w:rFonts w:ascii="Times New Roman" w:hAnsi="Times New Roman"/>
          <w:b/>
          <w:color w:val="000000"/>
          <w:sz w:val="24"/>
          <w:szCs w:val="24"/>
        </w:rPr>
        <w:t>the fact that a certain expression is an ‘a’ in some style or other, and the fact that it is in boldface, may both be monadic facts and yet play different roles in the language</w:t>
      </w:r>
      <w:r w:rsidRPr="00667F14">
        <w:rPr>
          <w:rFonts w:ascii="Times New Roman" w:hAnsi="Times New Roman"/>
          <w:color w:val="000000"/>
          <w:sz w:val="24"/>
          <w:szCs w:val="24"/>
        </w:rPr>
        <w:t xml:space="preserve">. In which connection it is relevant to note that the monadic </w:t>
      </w:r>
      <w:r w:rsidRPr="00667F14">
        <w:rPr>
          <w:rFonts w:ascii="Times New Roman" w:hAnsi="Times New Roman"/>
          <w:color w:val="000000"/>
          <w:sz w:val="24"/>
          <w:szCs w:val="24"/>
        </w:rPr>
        <w:lastRenderedPageBreak/>
        <w:t>fact about the expression by virtue of which it pertains to green is not the monadic fact that it is thick, but the monadic fact that it is a thick instance of a name or name variable.</w:t>
      </w:r>
      <w:r>
        <w:rPr>
          <w:rFonts w:ascii="Times New Roman" w:hAnsi="Times New Roman"/>
          <w:color w:val="000000"/>
          <w:sz w:val="24"/>
          <w:szCs w:val="24"/>
        </w:rPr>
        <w:t>” [115]</w:t>
      </w:r>
      <w:r w:rsidRPr="00667F14">
        <w:rPr>
          <w:rFonts w:ascii="Times New Roman" w:hAnsi="Times New Roman"/>
          <w:color w:val="000000"/>
          <w:sz w:val="24"/>
          <w:szCs w:val="24"/>
        </w:rPr>
        <w:t xml:space="preserve"> </w:t>
      </w:r>
    </w:p>
    <w:p w14:paraId="4F891944" w14:textId="77777777" w:rsidR="00A155C9" w:rsidRPr="00A155C9" w:rsidRDefault="0036308E" w:rsidP="00BA51D1">
      <w:pPr>
        <w:pStyle w:val="ListParagraph"/>
        <w:numPr>
          <w:ilvl w:val="0"/>
          <w:numId w:val="1"/>
        </w:numPr>
        <w:spacing w:before="240" w:line="240" w:lineRule="auto"/>
        <w:ind w:left="360"/>
        <w:contextualSpacing w:val="0"/>
        <w:rPr>
          <w:rFonts w:ascii="Times New Roman" w:hAnsi="Times New Roman"/>
          <w:sz w:val="24"/>
          <w:szCs w:val="24"/>
        </w:rPr>
      </w:pPr>
      <w:r>
        <w:rPr>
          <w:rFonts w:ascii="Times New Roman" w:hAnsi="Times New Roman"/>
          <w:sz w:val="24"/>
          <w:szCs w:val="24"/>
        </w:rPr>
        <w:t xml:space="preserve"> “</w:t>
      </w:r>
      <w:r w:rsidRPr="0036308E">
        <w:rPr>
          <w:rFonts w:ascii="Times New Roman" w:hAnsi="Times New Roman"/>
          <w:sz w:val="24"/>
          <w:szCs w:val="24"/>
        </w:rPr>
        <w:t>Before continuing with the substantive argument of this paper, I shall say something more to the historical question as to whether Wittgenstein himself ‘countenanced’ monadic atomic facts.</w:t>
      </w:r>
      <w:r>
        <w:rPr>
          <w:rFonts w:ascii="Times New Roman" w:hAnsi="Times New Roman"/>
          <w:sz w:val="24"/>
          <w:szCs w:val="24"/>
        </w:rPr>
        <w:t xml:space="preserve">”  [115]  </w:t>
      </w:r>
      <w:r w:rsidR="00BA51D1">
        <w:rPr>
          <w:rFonts w:ascii="Times New Roman" w:hAnsi="Times New Roman"/>
          <w:sz w:val="24"/>
          <w:szCs w:val="24"/>
        </w:rPr>
        <w:t>Another detour, but the whole of Section II is devoted to it.  The crux of the issue is this:</w:t>
      </w:r>
      <w:r w:rsidR="00BA51D1" w:rsidRPr="00BA51D1">
        <w:rPr>
          <w:rFonts w:ascii="Times New Roman" w:hAnsi="Times New Roman"/>
          <w:sz w:val="24"/>
          <w:szCs w:val="24"/>
        </w:rPr>
        <w:t>“</w:t>
      </w:r>
      <w:r w:rsidR="00BA51D1" w:rsidRPr="00BA51D1">
        <w:rPr>
          <w:rFonts w:ascii="Times New Roman" w:hAnsi="Times New Roman"/>
          <w:color w:val="000000"/>
          <w:sz w:val="24"/>
          <w:szCs w:val="24"/>
        </w:rPr>
        <w:t xml:space="preserve">Now </w:t>
      </w:r>
      <w:r w:rsidR="00BA51D1" w:rsidRPr="00BA51D1">
        <w:rPr>
          <w:rFonts w:ascii="Times New Roman" w:hAnsi="Times New Roman"/>
          <w:b/>
          <w:color w:val="000000"/>
          <w:sz w:val="24"/>
          <w:szCs w:val="24"/>
        </w:rPr>
        <w:t>if a philosopher combines the two theses, (1) there are no atomic facts involving only one particular, (2) all objects are particulars, it would be reasonable to say that he is committed to a doctrine of bare particulars</w:t>
      </w:r>
      <w:r w:rsidR="00BA51D1" w:rsidRPr="00BA51D1">
        <w:rPr>
          <w:rFonts w:ascii="Times New Roman" w:hAnsi="Times New Roman"/>
          <w:color w:val="000000"/>
          <w:sz w:val="24"/>
          <w:szCs w:val="24"/>
        </w:rPr>
        <w:t xml:space="preserve">. For, speaking informally, he holds that though objects stand in empirical relations, they have no qualities. </w:t>
      </w:r>
      <w:r w:rsidR="00BA51D1">
        <w:rPr>
          <w:rFonts w:ascii="Times New Roman" w:hAnsi="Times New Roman"/>
          <w:color w:val="000000"/>
          <w:sz w:val="24"/>
          <w:szCs w:val="24"/>
        </w:rPr>
        <w:t>…</w:t>
      </w:r>
      <w:r w:rsidR="00BA51D1" w:rsidRPr="00BA51D1">
        <w:rPr>
          <w:rFonts w:ascii="Times New Roman" w:hAnsi="Times New Roman"/>
          <w:color w:val="000000"/>
          <w:sz w:val="24"/>
          <w:szCs w:val="24"/>
        </w:rPr>
        <w:t>Now in my opinion Copi is correct in attributing to Wittgenstein the second of the above two theses (all objects are particulars). If, therefore, he were correct in attributing to Wittgenstein the first thesis, his claim that Wittgenstein is committed to a doctrine of bare particulars would be sound. Conversely, if Wittgenstein did hold a doctrine of bare particulars, then he was committed to the thesis that there are no monadic atomic facts.</w:t>
      </w:r>
      <w:r w:rsidR="00BA51D1">
        <w:rPr>
          <w:rFonts w:ascii="Times New Roman" w:hAnsi="Times New Roman"/>
          <w:color w:val="000000"/>
          <w:sz w:val="24"/>
          <w:szCs w:val="24"/>
        </w:rPr>
        <w:t>”  [116]</w:t>
      </w:r>
      <w:r w:rsidR="00A155C9">
        <w:rPr>
          <w:rFonts w:ascii="Times New Roman" w:hAnsi="Times New Roman"/>
          <w:color w:val="000000"/>
          <w:sz w:val="24"/>
          <w:szCs w:val="24"/>
        </w:rPr>
        <w:t xml:space="preserve">  </w:t>
      </w:r>
    </w:p>
    <w:p w14:paraId="599B301A" w14:textId="77777777" w:rsidR="006A0AD0" w:rsidRPr="009B2E3D" w:rsidRDefault="00A155C9" w:rsidP="009B2E3D">
      <w:pPr>
        <w:pStyle w:val="ListParagraph"/>
        <w:numPr>
          <w:ilvl w:val="0"/>
          <w:numId w:val="1"/>
        </w:numPr>
        <w:spacing w:before="240" w:line="240" w:lineRule="auto"/>
        <w:ind w:left="360"/>
        <w:contextualSpacing w:val="0"/>
        <w:rPr>
          <w:rFonts w:ascii="Times New Roman" w:hAnsi="Times New Roman"/>
          <w:sz w:val="24"/>
          <w:szCs w:val="24"/>
        </w:rPr>
      </w:pPr>
      <w:r>
        <w:rPr>
          <w:rFonts w:ascii="Times New Roman" w:hAnsi="Times New Roman"/>
          <w:color w:val="000000"/>
          <w:sz w:val="24"/>
          <w:szCs w:val="24"/>
        </w:rPr>
        <w:t>The overall discussion in Section II is nuanced and textually sensitive.  WS admits that there are passages on both sides.  He concludes by offering two attitudes LW might have taken on the issue of monadic atomic facts:  “</w:t>
      </w:r>
      <w:r w:rsidR="009B2E3D" w:rsidRPr="009B2E3D">
        <w:rPr>
          <w:rFonts w:ascii="Times New Roman" w:hAnsi="Times New Roman"/>
          <w:color w:val="000000"/>
          <w:sz w:val="24"/>
          <w:szCs w:val="24"/>
        </w:rPr>
        <w:t>Thus, perhaps the correct answer to the historical question is that Wittgenstein would have regarded the question ‘Are particulars bare?’ as, in a deep sense, a factual one, a question to which he did not claim to have the answer, and to which, as logician, he was not required to have the answer. The second remark is that Wittgenstein may well have thought that there are monadic atomic facts, indeed that their existence is obvious, but that no statement in ordinary usage represented such a fact, so that no example could be given in the sense of written down.</w:t>
      </w:r>
      <w:r w:rsidR="009B2E3D">
        <w:rPr>
          <w:rFonts w:ascii="Times New Roman" w:hAnsi="Times New Roman"/>
          <w:color w:val="000000"/>
          <w:sz w:val="24"/>
          <w:szCs w:val="24"/>
        </w:rPr>
        <w:t>” [120]</w:t>
      </w:r>
    </w:p>
    <w:p w14:paraId="31912C97" w14:textId="2B077D08" w:rsidR="006A0AD0" w:rsidRDefault="0038752A" w:rsidP="00B21C0A">
      <w:pPr>
        <w:pStyle w:val="ListParagraph"/>
        <w:numPr>
          <w:ilvl w:val="0"/>
          <w:numId w:val="1"/>
        </w:numPr>
        <w:spacing w:before="240" w:line="240" w:lineRule="auto"/>
        <w:ind w:left="360"/>
        <w:rPr>
          <w:rFonts w:ascii="Times New Roman" w:hAnsi="Times New Roman"/>
          <w:sz w:val="24"/>
          <w:szCs w:val="24"/>
        </w:rPr>
      </w:pPr>
      <w:r>
        <w:rPr>
          <w:rFonts w:ascii="Times New Roman" w:hAnsi="Times New Roman"/>
          <w:sz w:val="24"/>
          <w:szCs w:val="24"/>
        </w:rPr>
        <w:t>F</w:t>
      </w:r>
      <w:r w:rsidR="00B21C0A">
        <w:rPr>
          <w:rFonts w:ascii="Times New Roman" w:hAnsi="Times New Roman"/>
          <w:sz w:val="24"/>
          <w:szCs w:val="24"/>
        </w:rPr>
        <w:t>ootnote 13, at [118] says: “</w:t>
      </w:r>
      <w:r w:rsidR="00B21C0A" w:rsidRPr="00B21C0A">
        <w:rPr>
          <w:rFonts w:ascii="Times New Roman" w:hAnsi="Times New Roman"/>
          <w:sz w:val="24"/>
          <w:szCs w:val="24"/>
        </w:rPr>
        <w:t>I find here the implication that primitive one-place predicates (configurations)—if not all primitive predicates—come in families (determinates) and that objects are of different logical form if, for example, one exists in the logical space of color, the other in the logical space of sound.</w:t>
      </w:r>
      <w:r w:rsidR="00B21C0A">
        <w:rPr>
          <w:rFonts w:ascii="Times New Roman" w:hAnsi="Times New Roman"/>
          <w:sz w:val="24"/>
          <w:szCs w:val="24"/>
        </w:rPr>
        <w:t>”</w:t>
      </w:r>
    </w:p>
    <w:p w14:paraId="296859D9" w14:textId="77777777" w:rsidR="00333C9E" w:rsidRPr="00B21C0A" w:rsidRDefault="00333C9E" w:rsidP="00333C9E">
      <w:pPr>
        <w:pStyle w:val="ListParagraph"/>
        <w:spacing w:before="240" w:line="240" w:lineRule="auto"/>
        <w:ind w:left="360"/>
        <w:rPr>
          <w:rFonts w:ascii="Times New Roman" w:hAnsi="Times New Roman"/>
          <w:sz w:val="24"/>
          <w:szCs w:val="24"/>
        </w:rPr>
      </w:pPr>
    </w:p>
    <w:p w14:paraId="234BAE21" w14:textId="77777777" w:rsidR="00333C9E" w:rsidRPr="00333C9E" w:rsidRDefault="00333C9E" w:rsidP="00333C9E">
      <w:pPr>
        <w:pStyle w:val="ListParagraph"/>
        <w:numPr>
          <w:ilvl w:val="0"/>
          <w:numId w:val="1"/>
        </w:numPr>
        <w:spacing w:before="240" w:after="0" w:line="240" w:lineRule="auto"/>
        <w:ind w:left="360"/>
        <w:contextualSpacing w:val="0"/>
        <w:rPr>
          <w:rFonts w:ascii="Times New Roman" w:hAnsi="Times New Roman"/>
          <w:sz w:val="24"/>
          <w:szCs w:val="24"/>
        </w:rPr>
      </w:pPr>
      <w:r w:rsidRPr="00333C9E">
        <w:rPr>
          <w:rFonts w:ascii="Times New Roman" w:hAnsi="Times New Roman"/>
          <w:sz w:val="24"/>
          <w:szCs w:val="24"/>
        </w:rPr>
        <w:t>“</w:t>
      </w:r>
      <w:r w:rsidRPr="00333C9E">
        <w:rPr>
          <w:rFonts w:ascii="Times New Roman" w:hAnsi="Times New Roman"/>
          <w:color w:val="000000"/>
          <w:sz w:val="24"/>
          <w:szCs w:val="24"/>
        </w:rPr>
        <w:t xml:space="preserve">The danger arises from the fact that such a word as ‘red’, for example, is really three words, an adjective, a common noun and a proper name, rolled into one. Thus we can say, with equal propriety, </w:t>
      </w:r>
    </w:p>
    <w:p w14:paraId="2963E8BA" w14:textId="77777777" w:rsidR="00333C9E" w:rsidRPr="00333C9E" w:rsidRDefault="00333C9E" w:rsidP="00333C9E">
      <w:pPr>
        <w:pStyle w:val="StandardIndentCenter"/>
        <w:spacing w:before="0" w:after="0" w:line="240" w:lineRule="auto"/>
      </w:pPr>
      <w:r w:rsidRPr="00333C9E">
        <w:t>The book is red</w:t>
      </w:r>
      <w:r w:rsidRPr="00333C9E">
        <w:br/>
        <w:t xml:space="preserve">Scarlet is a color </w:t>
      </w:r>
      <w:r w:rsidRPr="00333C9E">
        <w:br/>
        <w:t>Red is a color</w:t>
      </w:r>
      <w:r>
        <w:t>”  [121]</w:t>
      </w:r>
    </w:p>
    <w:p w14:paraId="78E3FF02" w14:textId="77777777" w:rsidR="000305C8" w:rsidRPr="000305C8" w:rsidRDefault="00333C9E" w:rsidP="000305C8">
      <w:pPr>
        <w:pStyle w:val="ListParagraph"/>
        <w:numPr>
          <w:ilvl w:val="0"/>
          <w:numId w:val="1"/>
        </w:numPr>
        <w:spacing w:before="240" w:after="0" w:line="240" w:lineRule="auto"/>
        <w:ind w:left="360"/>
        <w:contextualSpacing w:val="0"/>
        <w:rPr>
          <w:rFonts w:ascii="Times New Roman" w:hAnsi="Times New Roman"/>
          <w:sz w:val="24"/>
          <w:szCs w:val="24"/>
        </w:rPr>
      </w:pPr>
      <w:r>
        <w:rPr>
          <w:rFonts w:ascii="Times New Roman" w:hAnsi="Times New Roman"/>
          <w:sz w:val="24"/>
          <w:szCs w:val="24"/>
        </w:rPr>
        <w:t xml:space="preserve"> </w:t>
      </w:r>
      <w:r w:rsidR="000305C8">
        <w:rPr>
          <w:rFonts w:ascii="Times New Roman" w:hAnsi="Times New Roman"/>
          <w:sz w:val="24"/>
          <w:szCs w:val="24"/>
        </w:rPr>
        <w:t>Appreciating this danger depends on a subtle but important argument:</w:t>
      </w:r>
      <w:r w:rsidR="000305C8" w:rsidRPr="000305C8">
        <w:rPr>
          <w:rFonts w:ascii="Times New Roman" w:hAnsi="Times New Roman"/>
          <w:sz w:val="24"/>
          <w:szCs w:val="24"/>
        </w:rPr>
        <w:t>“</w:t>
      </w:r>
      <w:r w:rsidR="000305C8" w:rsidRPr="000305C8">
        <w:rPr>
          <w:rFonts w:ascii="Times New Roman" w:hAnsi="Times New Roman"/>
          <w:color w:val="000000"/>
          <w:sz w:val="24"/>
          <w:szCs w:val="24"/>
        </w:rPr>
        <w:t xml:space="preserve">Now what makes this move all the more plausible is that there </w:t>
      </w:r>
      <w:r w:rsidR="000305C8" w:rsidRPr="000305C8">
        <w:rPr>
          <w:rFonts w:ascii="Times New Roman" w:hAnsi="Times New Roman"/>
          <w:i/>
          <w:color w:val="000000"/>
          <w:sz w:val="24"/>
          <w:szCs w:val="24"/>
        </w:rPr>
        <w:t>is</w:t>
      </w:r>
      <w:r w:rsidR="000305C8" w:rsidRPr="000305C8">
        <w:rPr>
          <w:rFonts w:ascii="Times New Roman" w:hAnsi="Times New Roman"/>
          <w:color w:val="000000"/>
          <w:sz w:val="24"/>
          <w:szCs w:val="24"/>
        </w:rPr>
        <w:t xml:space="preserve"> an object </w:t>
      </w:r>
      <w:r w:rsidR="000305C8" w:rsidRPr="000305C8">
        <w:rPr>
          <w:rFonts w:ascii="Times New Roman" w:hAnsi="Times New Roman"/>
          <w:i/>
          <w:color w:val="000000"/>
          <w:sz w:val="24"/>
          <w:szCs w:val="24"/>
        </w:rPr>
        <w:t>green</w:t>
      </w:r>
      <w:r w:rsidR="000305C8" w:rsidRPr="000305C8">
        <w:rPr>
          <w:rFonts w:ascii="Times New Roman" w:hAnsi="Times New Roman"/>
          <w:color w:val="000000"/>
          <w:sz w:val="24"/>
          <w:szCs w:val="24"/>
        </w:rPr>
        <w:t xml:space="preserve"> and that there </w:t>
      </w:r>
      <w:r w:rsidR="000305C8" w:rsidRPr="000305C8">
        <w:rPr>
          <w:rFonts w:ascii="Times New Roman" w:hAnsi="Times New Roman"/>
          <w:i/>
          <w:color w:val="000000"/>
          <w:sz w:val="24"/>
          <w:szCs w:val="24"/>
        </w:rPr>
        <w:t>is</w:t>
      </w:r>
      <w:r w:rsidR="000305C8" w:rsidRPr="000305C8">
        <w:rPr>
          <w:rFonts w:ascii="Times New Roman" w:hAnsi="Times New Roman"/>
          <w:color w:val="000000"/>
          <w:sz w:val="24"/>
          <w:szCs w:val="24"/>
        </w:rPr>
        <w:t xml:space="preserve"> a relation which is often called exemplification, such that if a is green </w:t>
      </w:r>
      <w:r w:rsidR="000305C8" w:rsidRPr="000305C8">
        <w:rPr>
          <w:rFonts w:ascii="Times New Roman" w:hAnsi="Times New Roman"/>
          <w:i/>
          <w:color w:val="000000"/>
          <w:sz w:val="24"/>
          <w:szCs w:val="24"/>
        </w:rPr>
        <w:t>then it is also true that a exemplifies green</w:t>
      </w:r>
      <w:r w:rsidR="000305C8" w:rsidRPr="000305C8">
        <w:rPr>
          <w:rFonts w:ascii="Times New Roman" w:hAnsi="Times New Roman"/>
          <w:color w:val="000000"/>
          <w:sz w:val="24"/>
          <w:szCs w:val="24"/>
        </w:rPr>
        <w:t xml:space="preserve">. Thus it is tempting indeed to say that </w:t>
      </w:r>
    </w:p>
    <w:p w14:paraId="5DBAEEF4" w14:textId="77777777" w:rsidR="000305C8" w:rsidRPr="000305C8" w:rsidRDefault="000305C8" w:rsidP="000305C8">
      <w:pPr>
        <w:pStyle w:val="StandardIndentCenter"/>
        <w:spacing w:before="0" w:after="0" w:line="240" w:lineRule="auto"/>
      </w:pPr>
      <w:r w:rsidRPr="000305C8">
        <w:t>a exemplifies green</w:t>
      </w:r>
    </w:p>
    <w:p w14:paraId="676DF0F6"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 xml:space="preserve">is simply an unperspicuous way of saying what is said perspicuously by </w:t>
      </w:r>
    </w:p>
    <w:p w14:paraId="7FC203E6" w14:textId="77777777" w:rsidR="000305C8" w:rsidRPr="000305C8" w:rsidRDefault="000305C8" w:rsidP="000305C8">
      <w:pPr>
        <w:pStyle w:val="StandardIndentCenter"/>
        <w:spacing w:before="0" w:after="0" w:line="240" w:lineRule="auto"/>
      </w:pPr>
      <w:r w:rsidRPr="000305C8">
        <w:t>Green a</w:t>
      </w:r>
    </w:p>
    <w:p w14:paraId="511C9C65"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 xml:space="preserve">And the fascinating thing about it is that this claim would be absolutely correct </w:t>
      </w:r>
      <w:r w:rsidRPr="000305C8">
        <w:rPr>
          <w:rFonts w:ascii="Times New Roman" w:hAnsi="Times New Roman"/>
          <w:i/>
          <w:color w:val="000000"/>
          <w:sz w:val="24"/>
          <w:szCs w:val="24"/>
        </w:rPr>
        <w:t>provided that ‘green a’ was not taken to say what is ordinarily said by ‘a is green’</w:t>
      </w:r>
      <w:r w:rsidRPr="000305C8">
        <w:rPr>
          <w:rFonts w:ascii="Times New Roman" w:hAnsi="Times New Roman"/>
          <w:color w:val="000000"/>
          <w:sz w:val="24"/>
          <w:szCs w:val="24"/>
        </w:rPr>
        <w:t xml:space="preserve">. </w:t>
      </w:r>
    </w:p>
    <w:p w14:paraId="51A8A2AF" w14:textId="77777777" w:rsidR="000305C8" w:rsidRPr="000305C8" w:rsidRDefault="000305C8" w:rsidP="000305C8">
      <w:pPr>
        <w:widowControl w:val="0"/>
        <w:autoSpaceDE w:val="0"/>
        <w:autoSpaceDN w:val="0"/>
        <w:adjustRightInd w:val="0"/>
        <w:spacing w:after="0" w:line="240" w:lineRule="auto"/>
        <w:ind w:right="60" w:firstLine="720"/>
        <w:rPr>
          <w:rFonts w:ascii="Times New Roman" w:hAnsi="Times New Roman"/>
          <w:color w:val="000000"/>
          <w:sz w:val="24"/>
          <w:szCs w:val="24"/>
        </w:rPr>
      </w:pPr>
      <w:r w:rsidRPr="000305C8">
        <w:rPr>
          <w:rFonts w:ascii="Times New Roman" w:hAnsi="Times New Roman"/>
          <w:color w:val="000000"/>
          <w:sz w:val="24"/>
          <w:szCs w:val="24"/>
        </w:rPr>
        <w:lastRenderedPageBreak/>
        <w:t xml:space="preserve">The point stands out like a sore thumb if one leave colors aside and uses a geometrical example. Thus consider the statement </w:t>
      </w:r>
    </w:p>
    <w:p w14:paraId="4D76052A" w14:textId="77777777" w:rsidR="000305C8" w:rsidRPr="000305C8" w:rsidRDefault="000305C8" w:rsidP="000305C8">
      <w:pPr>
        <w:pStyle w:val="StandardIndentCenter"/>
        <w:spacing w:before="0" w:after="0" w:line="240" w:lineRule="auto"/>
      </w:pPr>
      <w:r w:rsidRPr="000305C8">
        <w:t>a is triangular</w:t>
      </w:r>
    </w:p>
    <w:p w14:paraId="43B1042F"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or, for our purposes,</w:t>
      </w:r>
    </w:p>
    <w:p w14:paraId="78FA5670" w14:textId="77777777" w:rsidR="000305C8" w:rsidRPr="000305C8" w:rsidRDefault="000305C8" w:rsidP="000305C8">
      <w:pPr>
        <w:pStyle w:val="StandardIndentCenter"/>
        <w:spacing w:before="0" w:after="0" w:line="240" w:lineRule="auto"/>
      </w:pPr>
      <w:r w:rsidRPr="000305C8">
        <w:t>Triangular a</w:t>
      </w:r>
    </w:p>
    <w:p w14:paraId="36D2FEF3"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 xml:space="preserve">It would clearly be odd to say </w:t>
      </w:r>
    </w:p>
    <w:p w14:paraId="578B7848" w14:textId="77777777" w:rsidR="000305C8" w:rsidRPr="000305C8" w:rsidRDefault="000305C8" w:rsidP="000305C8">
      <w:pPr>
        <w:pStyle w:val="StandardIndentCenter"/>
        <w:spacing w:before="0" w:after="0" w:line="240" w:lineRule="auto"/>
      </w:pPr>
      <w:r w:rsidRPr="000305C8">
        <w:t>a exemplifies triangular</w:t>
      </w:r>
    </w:p>
    <w:p w14:paraId="1C92515A"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 xml:space="preserve">although it is not odd to say </w:t>
      </w:r>
    </w:p>
    <w:p w14:paraId="3447B274" w14:textId="77777777" w:rsidR="000305C8" w:rsidRPr="000305C8" w:rsidRDefault="000305C8" w:rsidP="000305C8">
      <w:pPr>
        <w:pStyle w:val="StandardIndentCenter"/>
        <w:spacing w:before="0" w:after="0" w:line="240" w:lineRule="auto"/>
      </w:pPr>
      <w:r w:rsidRPr="000305C8">
        <w:t>a exemplifies green.</w:t>
      </w:r>
    </w:p>
    <w:p w14:paraId="3D95CDEE"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 xml:space="preserve">The reason is that ‘triangular’ unlike ‘green’ does not function in ordinary usage as both an adjective and a singular term. What we must say is </w:t>
      </w:r>
    </w:p>
    <w:p w14:paraId="3709E95F" w14:textId="77777777" w:rsidR="000305C8" w:rsidRPr="000305C8" w:rsidRDefault="000305C8" w:rsidP="000305C8">
      <w:pPr>
        <w:pStyle w:val="StandardIndentCenter"/>
        <w:spacing w:before="0" w:after="0" w:line="240" w:lineRule="auto"/>
      </w:pPr>
      <w:r w:rsidRPr="000305C8">
        <w:t>a exemplifies triangularity.</w:t>
      </w:r>
    </w:p>
    <w:p w14:paraId="124AA70C"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 xml:space="preserve">Now in a perspicuous language, i.e. a language which had a built-in protection against Bradley’s puzzle we might say </w:t>
      </w:r>
      <w:r w:rsidRPr="000305C8">
        <w:rPr>
          <w:rFonts w:ascii="Times New Roman" w:hAnsi="Times New Roman"/>
          <w:i/>
          <w:color w:val="000000"/>
          <w:sz w:val="24"/>
          <w:szCs w:val="24"/>
        </w:rPr>
        <w:t>that a exemplifies triangularity</w:t>
      </w:r>
      <w:r w:rsidRPr="000305C8">
        <w:rPr>
          <w:rFonts w:ascii="Times New Roman" w:hAnsi="Times New Roman"/>
          <w:color w:val="000000"/>
          <w:sz w:val="24"/>
          <w:szCs w:val="24"/>
        </w:rPr>
        <w:t xml:space="preserve"> by concatenating ‘a’ and ‘triangularity’ or </w:t>
      </w:r>
      <w:r w:rsidRPr="000305C8">
        <w:rPr>
          <w:rFonts w:ascii="Times New Roman" w:hAnsi="Times New Roman"/>
          <w:i/>
          <w:color w:val="000000"/>
          <w:sz w:val="24"/>
          <w:szCs w:val="24"/>
        </w:rPr>
        <w:t>that Socrates exemplifies Wisdom</w:t>
      </w:r>
      <w:r w:rsidRPr="000305C8">
        <w:rPr>
          <w:rFonts w:ascii="Times New Roman" w:hAnsi="Times New Roman"/>
          <w:color w:val="000000"/>
          <w:sz w:val="24"/>
          <w:szCs w:val="24"/>
        </w:rPr>
        <w:t xml:space="preserve"> by writing </w:t>
      </w:r>
    </w:p>
    <w:p w14:paraId="54F7406A" w14:textId="77777777" w:rsidR="000305C8" w:rsidRPr="000305C8" w:rsidRDefault="000305C8" w:rsidP="000305C8">
      <w:pPr>
        <w:pStyle w:val="StandardIndentCenter"/>
        <w:spacing w:before="0" w:after="0" w:line="240" w:lineRule="auto"/>
      </w:pPr>
      <w:r w:rsidRPr="000305C8">
        <w:t>Socrates : Wisdom.</w:t>
      </w:r>
    </w:p>
    <w:p w14:paraId="2C6F002B"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 xml:space="preserve">Our language is not such a perspicuous one, and to bring this out in this connection, we might write, </w:t>
      </w:r>
    </w:p>
    <w:p w14:paraId="39664D69" w14:textId="77777777" w:rsidR="000305C8" w:rsidRPr="000305C8" w:rsidRDefault="000305C8" w:rsidP="000305C8">
      <w:pPr>
        <w:widowControl w:val="0"/>
        <w:autoSpaceDE w:val="0"/>
        <w:autoSpaceDN w:val="0"/>
        <w:adjustRightInd w:val="0"/>
        <w:spacing w:after="0" w:line="240" w:lineRule="auto"/>
        <w:ind w:right="60" w:firstLine="720"/>
        <w:rPr>
          <w:rFonts w:ascii="Times New Roman" w:hAnsi="Times New Roman"/>
          <w:color w:val="000000"/>
          <w:sz w:val="24"/>
          <w:szCs w:val="24"/>
        </w:rPr>
      </w:pPr>
      <w:r w:rsidRPr="000305C8">
        <w:rPr>
          <w:rFonts w:ascii="Times New Roman" w:hAnsi="Times New Roman"/>
          <w:color w:val="000000"/>
          <w:sz w:val="24"/>
          <w:szCs w:val="24"/>
        </w:rPr>
        <w:t>We must not say, ‘The complex sign “a exemplifies triangularity” says “a stands in the exemplification relation to triangularity”,’ but we must say ‘</w:t>
      </w:r>
      <w:r w:rsidRPr="000305C8">
        <w:rPr>
          <w:rFonts w:ascii="Times New Roman" w:hAnsi="Times New Roman"/>
          <w:i/>
          <w:color w:val="000000"/>
          <w:sz w:val="24"/>
          <w:szCs w:val="24"/>
        </w:rPr>
        <w:t>that</w:t>
      </w:r>
      <w:r w:rsidRPr="000305C8">
        <w:rPr>
          <w:rFonts w:ascii="Times New Roman" w:hAnsi="Times New Roman"/>
          <w:color w:val="000000"/>
          <w:sz w:val="24"/>
          <w:szCs w:val="24"/>
        </w:rPr>
        <w:t xml:space="preserve"> “a” stands in a certain relation to “triangularity” says that a exemplifies triangularity.’ </w:t>
      </w:r>
    </w:p>
    <w:p w14:paraId="24B47C2E" w14:textId="77777777" w:rsidR="000305C8" w:rsidRPr="000305C8" w:rsidRDefault="000305C8" w:rsidP="000305C8">
      <w:pPr>
        <w:widowControl w:val="0"/>
        <w:autoSpaceDE w:val="0"/>
        <w:autoSpaceDN w:val="0"/>
        <w:adjustRightInd w:val="0"/>
        <w:spacing w:after="0" w:line="240" w:lineRule="auto"/>
        <w:ind w:right="60" w:firstLine="720"/>
        <w:rPr>
          <w:rFonts w:ascii="Times New Roman" w:hAnsi="Times New Roman"/>
          <w:color w:val="000000"/>
          <w:sz w:val="24"/>
          <w:szCs w:val="24"/>
        </w:rPr>
      </w:pPr>
      <w:r w:rsidRPr="000305C8">
        <w:rPr>
          <w:rFonts w:ascii="Times New Roman" w:hAnsi="Times New Roman"/>
          <w:color w:val="000000"/>
          <w:sz w:val="24"/>
          <w:szCs w:val="24"/>
        </w:rPr>
        <w:t xml:space="preserve">Thus it is correct to say that </w:t>
      </w:r>
    </w:p>
    <w:p w14:paraId="3B0CABAE" w14:textId="77777777" w:rsidR="000305C8" w:rsidRPr="000305C8" w:rsidRDefault="000305C8" w:rsidP="000305C8">
      <w:pPr>
        <w:pStyle w:val="StandardIndentCenter"/>
        <w:spacing w:before="0" w:after="0" w:line="240" w:lineRule="auto"/>
      </w:pPr>
      <w:r w:rsidRPr="000305C8">
        <w:t>Green a</w:t>
      </w:r>
    </w:p>
    <w:p w14:paraId="70230A2D"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 xml:space="preserve">says perspicuously what is said by </w:t>
      </w:r>
    </w:p>
    <w:p w14:paraId="0B4A43A2" w14:textId="77777777" w:rsidR="000305C8" w:rsidRPr="000305C8" w:rsidRDefault="000305C8" w:rsidP="000305C8">
      <w:pPr>
        <w:pStyle w:val="StandardIndentCenter"/>
        <w:spacing w:before="0" w:after="0" w:line="240" w:lineRule="auto"/>
      </w:pPr>
      <w:r w:rsidRPr="000305C8">
        <w:t>a exemplifies green</w:t>
      </w:r>
    </w:p>
    <w:p w14:paraId="3B1144E4"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 xml:space="preserve">only if ‘green’ is used in the sense of the singular term ‘greenness’. And when it is used in this sense, the statement </w:t>
      </w:r>
    </w:p>
    <w:p w14:paraId="208CAAA8" w14:textId="77777777" w:rsidR="000305C8" w:rsidRPr="000305C8" w:rsidRDefault="000305C8" w:rsidP="000305C8">
      <w:pPr>
        <w:pStyle w:val="StandardIndentCenter"/>
        <w:spacing w:before="0" w:after="0" w:line="240" w:lineRule="auto"/>
      </w:pPr>
      <w:r w:rsidRPr="000305C8">
        <w:t>Green a</w:t>
      </w:r>
    </w:p>
    <w:p w14:paraId="4F7BC1FA"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 xml:space="preserve">does not have the sense of the ordinary statement </w:t>
      </w:r>
    </w:p>
    <w:p w14:paraId="59CD7095" w14:textId="77777777" w:rsidR="000305C8" w:rsidRPr="000305C8" w:rsidRDefault="000305C8" w:rsidP="000305C8">
      <w:pPr>
        <w:pStyle w:val="StandardIndentCenter"/>
        <w:spacing w:before="0" w:after="0" w:line="240" w:lineRule="auto"/>
      </w:pPr>
      <w:r w:rsidRPr="000305C8">
        <w:t>a is green,</w:t>
      </w:r>
    </w:p>
    <w:p w14:paraId="3964D906" w14:textId="77777777" w:rsidR="000305C8" w:rsidRPr="000305C8" w:rsidRDefault="000305C8" w:rsidP="000305C8">
      <w:pPr>
        <w:widowControl w:val="0"/>
        <w:autoSpaceDE w:val="0"/>
        <w:autoSpaceDN w:val="0"/>
        <w:adjustRightInd w:val="0"/>
        <w:spacing w:after="0" w:line="240" w:lineRule="auto"/>
        <w:ind w:right="60"/>
        <w:rPr>
          <w:rFonts w:ascii="Times New Roman" w:hAnsi="Times New Roman"/>
          <w:color w:val="000000"/>
          <w:sz w:val="24"/>
          <w:szCs w:val="24"/>
        </w:rPr>
      </w:pPr>
      <w:r w:rsidRPr="000305C8">
        <w:rPr>
          <w:rFonts w:ascii="Times New Roman" w:hAnsi="Times New Roman"/>
          <w:color w:val="000000"/>
          <w:sz w:val="24"/>
          <w:szCs w:val="24"/>
        </w:rPr>
        <w:t>though it is logically equivalent to it.</w:t>
      </w:r>
      <w:r>
        <w:rPr>
          <w:rFonts w:ascii="Times New Roman" w:hAnsi="Times New Roman"/>
          <w:color w:val="000000"/>
          <w:sz w:val="24"/>
          <w:szCs w:val="24"/>
        </w:rPr>
        <w:t>” [122]</w:t>
      </w:r>
      <w:r w:rsidRPr="000305C8">
        <w:rPr>
          <w:rFonts w:ascii="Times New Roman" w:hAnsi="Times New Roman"/>
          <w:color w:val="000000"/>
          <w:sz w:val="24"/>
          <w:szCs w:val="24"/>
        </w:rPr>
        <w:t xml:space="preserve"> </w:t>
      </w:r>
    </w:p>
    <w:p w14:paraId="6CE68D4C" w14:textId="77777777" w:rsidR="00ED3089" w:rsidRPr="00ED3089" w:rsidRDefault="00ED3089" w:rsidP="00ED3089">
      <w:pPr>
        <w:pStyle w:val="ListParagraph"/>
        <w:numPr>
          <w:ilvl w:val="0"/>
          <w:numId w:val="1"/>
        </w:numPr>
        <w:spacing w:before="240" w:line="240" w:lineRule="auto"/>
        <w:ind w:left="360"/>
        <w:contextualSpacing w:val="0"/>
        <w:rPr>
          <w:rFonts w:ascii="Times New Roman" w:hAnsi="Times New Roman"/>
          <w:sz w:val="24"/>
          <w:szCs w:val="24"/>
        </w:rPr>
      </w:pPr>
      <w:r>
        <w:rPr>
          <w:rFonts w:ascii="Times New Roman" w:hAnsi="Times New Roman"/>
          <w:sz w:val="24"/>
          <w:szCs w:val="24"/>
        </w:rPr>
        <w:t xml:space="preserve"> </w:t>
      </w:r>
      <w:r w:rsidRPr="00ED3089">
        <w:rPr>
          <w:rFonts w:ascii="Times New Roman" w:hAnsi="Times New Roman"/>
          <w:sz w:val="24"/>
          <w:szCs w:val="24"/>
        </w:rPr>
        <w:t>“</w:t>
      </w:r>
      <w:r w:rsidRPr="00ED3089">
        <w:rPr>
          <w:rFonts w:ascii="Times New Roman" w:hAnsi="Times New Roman"/>
          <w:color w:val="000000"/>
          <w:sz w:val="24"/>
          <w:szCs w:val="24"/>
        </w:rPr>
        <w:t xml:space="preserve">Professor Bergmann thinks that </w:t>
      </w:r>
    </w:p>
    <w:p w14:paraId="63C79FCF" w14:textId="77777777" w:rsidR="00ED3089" w:rsidRPr="00ED3089" w:rsidRDefault="00ED3089" w:rsidP="00ED3089">
      <w:pPr>
        <w:pStyle w:val="StandardIndentCenter"/>
        <w:spacing w:before="0" w:after="0" w:line="240" w:lineRule="auto"/>
      </w:pPr>
      <w:r w:rsidRPr="00ED3089">
        <w:t>Green a</w:t>
      </w:r>
    </w:p>
    <w:p w14:paraId="7C4AA422" w14:textId="77777777" w:rsidR="00333C9E" w:rsidRPr="00ED3089" w:rsidRDefault="00ED3089" w:rsidP="00ED3089">
      <w:pPr>
        <w:spacing w:after="0" w:line="240" w:lineRule="auto"/>
        <w:rPr>
          <w:rFonts w:ascii="Times New Roman" w:hAnsi="Times New Roman"/>
          <w:sz w:val="24"/>
          <w:szCs w:val="24"/>
        </w:rPr>
      </w:pPr>
      <w:r w:rsidRPr="00ED3089">
        <w:rPr>
          <w:rFonts w:ascii="Times New Roman" w:hAnsi="Times New Roman"/>
          <w:color w:val="000000"/>
          <w:sz w:val="24"/>
          <w:szCs w:val="24"/>
        </w:rPr>
        <w:t xml:space="preserve">consists of two names, ‘a’, the name of a particular, and ‘green’, the name of a universal, and, by being their juxtaposition, asserts that the one exemplifies the other. On his view, philosophers who insist that ‘a is green’ says that a exemplifies green but do not realize that ‘a exemplifies green’ is simply an unperspicuous way of juxtaposing ‘a’ with ‘green’ are attempting to eff the ineffable. </w:t>
      </w:r>
      <w:r w:rsidRPr="00401706">
        <w:rPr>
          <w:rFonts w:ascii="Times New Roman" w:hAnsi="Times New Roman"/>
          <w:b/>
          <w:color w:val="000000"/>
          <w:sz w:val="24"/>
          <w:szCs w:val="24"/>
        </w:rPr>
        <w:t>He thinks</w:t>
      </w:r>
      <w:r w:rsidRPr="00ED3089">
        <w:rPr>
          <w:rFonts w:ascii="Times New Roman" w:hAnsi="Times New Roman"/>
          <w:color w:val="000000"/>
          <w:sz w:val="24"/>
          <w:szCs w:val="24"/>
        </w:rPr>
        <w:t xml:space="preserve">, to use the terminology I proposed earlier, </w:t>
      </w:r>
      <w:r w:rsidRPr="00401706">
        <w:rPr>
          <w:rFonts w:ascii="Times New Roman" w:hAnsi="Times New Roman"/>
          <w:b/>
          <w:color w:val="000000"/>
          <w:sz w:val="24"/>
          <w:szCs w:val="24"/>
        </w:rPr>
        <w:t>that exemplification is the nexus, the mode of configuration of objects which can only be expressed by a configuration of names</w:t>
      </w:r>
      <w:r w:rsidRPr="00ED3089">
        <w:rPr>
          <w:rFonts w:ascii="Times New Roman" w:hAnsi="Times New Roman"/>
          <w:color w:val="000000"/>
          <w:sz w:val="24"/>
          <w:szCs w:val="24"/>
        </w:rPr>
        <w:t>. Professor Bergmann sees configurations of particulars and universals where Wittgenstein saw only configurations of particulars</w:t>
      </w:r>
      <w:r>
        <w:rPr>
          <w:rFonts w:ascii="Times New Roman" w:hAnsi="Times New Roman"/>
          <w:color w:val="000000"/>
          <w:sz w:val="24"/>
          <w:szCs w:val="24"/>
        </w:rPr>
        <w:t xml:space="preserve">.” [123]  </w:t>
      </w:r>
    </w:p>
    <w:p w14:paraId="5687A7AF" w14:textId="77777777" w:rsidR="00DC2147" w:rsidRPr="00DC2147" w:rsidRDefault="00DC2147" w:rsidP="00DC2147">
      <w:pPr>
        <w:pStyle w:val="ListParagraph"/>
        <w:numPr>
          <w:ilvl w:val="0"/>
          <w:numId w:val="1"/>
        </w:numPr>
        <w:spacing w:before="240" w:line="240" w:lineRule="auto"/>
        <w:ind w:left="360"/>
        <w:contextualSpacing w:val="0"/>
        <w:rPr>
          <w:rFonts w:ascii="Times New Roman" w:hAnsi="Times New Roman"/>
          <w:sz w:val="24"/>
          <w:szCs w:val="24"/>
        </w:rPr>
      </w:pPr>
      <w:r w:rsidRPr="00DC2147">
        <w:rPr>
          <w:rFonts w:ascii="Times New Roman" w:hAnsi="Times New Roman"/>
          <w:sz w:val="24"/>
          <w:szCs w:val="24"/>
        </w:rPr>
        <w:t>“</w:t>
      </w:r>
      <w:r w:rsidRPr="00DC2147">
        <w:rPr>
          <w:rFonts w:ascii="Times New Roman" w:hAnsi="Times New Roman"/>
          <w:color w:val="000000"/>
          <w:sz w:val="24"/>
          <w:szCs w:val="24"/>
        </w:rPr>
        <w:t xml:space="preserve">But what does </w:t>
      </w:r>
    </w:p>
    <w:p w14:paraId="2D38BDD1" w14:textId="77777777" w:rsidR="00DC2147" w:rsidRPr="00DC2147" w:rsidRDefault="00DC2147" w:rsidP="00DC2147">
      <w:pPr>
        <w:pStyle w:val="StandardIndentCenter"/>
        <w:spacing w:before="0" w:after="0" w:line="240" w:lineRule="auto"/>
      </w:pPr>
      <w:r w:rsidRPr="00DC2147">
        <w:t>a exemplifies triangularity</w:t>
      </w:r>
    </w:p>
    <w:p w14:paraId="74D6BB36" w14:textId="77777777" w:rsidR="00DC2147" w:rsidRPr="00DC2147" w:rsidRDefault="00DC2147" w:rsidP="00DC2147">
      <w:pPr>
        <w:widowControl w:val="0"/>
        <w:autoSpaceDE w:val="0"/>
        <w:autoSpaceDN w:val="0"/>
        <w:adjustRightInd w:val="0"/>
        <w:spacing w:after="0" w:line="240" w:lineRule="auto"/>
        <w:ind w:right="60"/>
        <w:rPr>
          <w:rFonts w:ascii="Times New Roman" w:hAnsi="Times New Roman"/>
          <w:color w:val="000000"/>
          <w:sz w:val="24"/>
          <w:szCs w:val="24"/>
        </w:rPr>
      </w:pPr>
      <w:r w:rsidRPr="00DC2147">
        <w:rPr>
          <w:rFonts w:ascii="Times New Roman" w:hAnsi="Times New Roman"/>
          <w:color w:val="000000"/>
          <w:sz w:val="24"/>
          <w:szCs w:val="24"/>
        </w:rPr>
        <w:lastRenderedPageBreak/>
        <w:t xml:space="preserve">say if it isn’t an unperspicuous way of saying </w:t>
      </w:r>
    </w:p>
    <w:p w14:paraId="6CD900F9" w14:textId="77777777" w:rsidR="00DC2147" w:rsidRPr="00DC2147" w:rsidRDefault="00DC2147" w:rsidP="00DC2147">
      <w:pPr>
        <w:pStyle w:val="StandardIndentCenter"/>
        <w:spacing w:before="0" w:after="0" w:line="240" w:lineRule="auto"/>
      </w:pPr>
      <w:r w:rsidRPr="00DC2147">
        <w:t>Triangular a</w:t>
      </w:r>
      <w:r>
        <w:t xml:space="preserve"> ?”</w:t>
      </w:r>
    </w:p>
    <w:p w14:paraId="5C07421F" w14:textId="77777777" w:rsidR="00DC2147" w:rsidRPr="00DC2147" w:rsidRDefault="00DC2147" w:rsidP="00DC2147">
      <w:pPr>
        <w:pStyle w:val="ListParagraph"/>
        <w:numPr>
          <w:ilvl w:val="0"/>
          <w:numId w:val="1"/>
        </w:numPr>
        <w:spacing w:before="240" w:line="240" w:lineRule="auto"/>
        <w:ind w:left="360"/>
        <w:contextualSpacing w:val="0"/>
        <w:rPr>
          <w:rFonts w:ascii="Times New Roman" w:hAnsi="Times New Roman"/>
          <w:sz w:val="24"/>
          <w:szCs w:val="24"/>
        </w:rPr>
      </w:pPr>
      <w:r w:rsidRPr="00DC2147">
        <w:rPr>
          <w:rFonts w:ascii="Times New Roman" w:hAnsi="Times New Roman"/>
          <w:color w:val="000000"/>
          <w:sz w:val="24"/>
          <w:szCs w:val="24"/>
        </w:rPr>
        <w:t xml:space="preserve">Now if </w:t>
      </w:r>
    </w:p>
    <w:p w14:paraId="1D808E3C" w14:textId="77777777" w:rsidR="00DC2147" w:rsidRPr="00DC2147" w:rsidRDefault="00DC2147" w:rsidP="00DC2147">
      <w:pPr>
        <w:pStyle w:val="StandardIndentCenter"/>
        <w:spacing w:before="0" w:after="0" w:line="240" w:lineRule="auto"/>
      </w:pPr>
      <w:r w:rsidRPr="00DC2147">
        <w:t>a exemplifes triangularity</w:t>
      </w:r>
      <w:r w:rsidRPr="00DC2147">
        <w:br/>
        <w:t xml:space="preserve">triangularity is true of a </w:t>
      </w:r>
      <w:r w:rsidRPr="00DC2147">
        <w:br/>
        <w:t>triangularity holds of a</w:t>
      </w:r>
    </w:p>
    <w:p w14:paraId="67DD47A5" w14:textId="77777777" w:rsidR="00DC2147" w:rsidRPr="00DC2147" w:rsidRDefault="00DC2147" w:rsidP="00DC2147">
      <w:pPr>
        <w:widowControl w:val="0"/>
        <w:autoSpaceDE w:val="0"/>
        <w:autoSpaceDN w:val="0"/>
        <w:adjustRightInd w:val="0"/>
        <w:spacing w:after="0" w:line="240" w:lineRule="auto"/>
        <w:ind w:right="60"/>
        <w:rPr>
          <w:rFonts w:ascii="Times New Roman" w:hAnsi="Times New Roman"/>
          <w:color w:val="000000"/>
          <w:sz w:val="24"/>
          <w:szCs w:val="24"/>
        </w:rPr>
      </w:pPr>
      <w:r w:rsidRPr="00DC2147">
        <w:rPr>
          <w:rFonts w:ascii="Times New Roman" w:hAnsi="Times New Roman"/>
          <w:color w:val="000000"/>
          <w:sz w:val="24"/>
          <w:szCs w:val="24"/>
        </w:rPr>
        <w:t xml:space="preserve">are to be elucidated in terms of </w:t>
      </w:r>
    </w:p>
    <w:p w14:paraId="2F127975" w14:textId="77777777" w:rsidR="00DC2147" w:rsidRPr="00DC2147" w:rsidRDefault="00DC2147" w:rsidP="00DC2147">
      <w:pPr>
        <w:pStyle w:val="StandardIndentCenter"/>
        <w:spacing w:before="0" w:after="0" w:line="240" w:lineRule="auto"/>
      </w:pPr>
      <w:r w:rsidRPr="00DC2147">
        <w:t>That a is triangular is true</w:t>
      </w:r>
    </w:p>
    <w:p w14:paraId="72CA4249" w14:textId="77777777" w:rsidR="00DC2147" w:rsidRDefault="00DC2147" w:rsidP="00DC2147">
      <w:pPr>
        <w:widowControl w:val="0"/>
        <w:autoSpaceDE w:val="0"/>
        <w:autoSpaceDN w:val="0"/>
        <w:adjustRightInd w:val="0"/>
        <w:spacing w:after="0" w:line="240" w:lineRule="auto"/>
        <w:ind w:right="60"/>
        <w:rPr>
          <w:color w:val="000000"/>
        </w:rPr>
      </w:pPr>
      <w:r w:rsidRPr="00DC2147">
        <w:rPr>
          <w:rFonts w:ascii="Times New Roman" w:hAnsi="Times New Roman"/>
          <w:color w:val="000000"/>
          <w:sz w:val="24"/>
          <w:szCs w:val="24"/>
        </w:rPr>
        <w:t xml:space="preserve">then exemplification is no more </w:t>
      </w:r>
      <w:r w:rsidRPr="00020259">
        <w:rPr>
          <w:rFonts w:ascii="Times New Roman" w:hAnsi="Times New Roman"/>
          <w:b/>
          <w:color w:val="000000"/>
          <w:sz w:val="24"/>
          <w:szCs w:val="24"/>
        </w:rPr>
        <w:t>present in the world of fact in that narrow sense which tractarians like Professor Bergmann and myself find illuminating</w:t>
      </w:r>
      <w:r w:rsidRPr="00DC2147">
        <w:rPr>
          <w:rFonts w:ascii="Times New Roman" w:hAnsi="Times New Roman"/>
          <w:color w:val="000000"/>
          <w:sz w:val="24"/>
          <w:szCs w:val="24"/>
        </w:rPr>
        <w:t xml:space="preserve">, than is meaning, or truth, </w:t>
      </w:r>
      <w:r w:rsidRPr="00DC2147">
        <w:rPr>
          <w:rFonts w:ascii="Times New Roman" w:hAnsi="Times New Roman"/>
          <w:i/>
          <w:color w:val="000000"/>
          <w:sz w:val="24"/>
          <w:szCs w:val="24"/>
        </w:rPr>
        <w:t>and for the same reason</w:t>
      </w:r>
      <w:r w:rsidRPr="00DC2147">
        <w:rPr>
          <w:rFonts w:ascii="Times New Roman" w:hAnsi="Times New Roman"/>
          <w:color w:val="000000"/>
          <w:sz w:val="24"/>
          <w:szCs w:val="24"/>
        </w:rPr>
        <w:t>.</w:t>
      </w:r>
      <w:r>
        <w:rPr>
          <w:rFonts w:ascii="Times New Roman" w:hAnsi="Times New Roman"/>
          <w:color w:val="000000"/>
          <w:sz w:val="24"/>
          <w:szCs w:val="24"/>
        </w:rPr>
        <w:t>”  [124]  The reason being that both are metalinguistic.</w:t>
      </w:r>
    </w:p>
    <w:p w14:paraId="545DE0FB" w14:textId="44B2FD38" w:rsidR="00DC2147" w:rsidRPr="00B96794" w:rsidRDefault="00B96794" w:rsidP="00B96794">
      <w:pPr>
        <w:pStyle w:val="ListParagraph"/>
        <w:numPr>
          <w:ilvl w:val="0"/>
          <w:numId w:val="1"/>
        </w:numPr>
        <w:spacing w:before="240" w:line="240" w:lineRule="auto"/>
        <w:ind w:left="360"/>
        <w:contextualSpacing w:val="0"/>
        <w:rPr>
          <w:rFonts w:ascii="Times New Roman" w:hAnsi="Times New Roman"/>
          <w:sz w:val="24"/>
          <w:szCs w:val="24"/>
        </w:rPr>
      </w:pPr>
      <w:r w:rsidRPr="00B96794">
        <w:rPr>
          <w:rFonts w:ascii="Times New Roman" w:hAnsi="Times New Roman"/>
          <w:sz w:val="24"/>
          <w:szCs w:val="24"/>
        </w:rPr>
        <w:t xml:space="preserve">“The crucial ineffability in the </w:t>
      </w:r>
      <w:r w:rsidRPr="00B96794">
        <w:rPr>
          <w:rFonts w:ascii="Times New Roman" w:hAnsi="Times New Roman"/>
          <w:i/>
          <w:sz w:val="24"/>
          <w:szCs w:val="24"/>
        </w:rPr>
        <w:t>Tractatus</w:t>
      </w:r>
      <w:r w:rsidRPr="00B96794">
        <w:rPr>
          <w:rFonts w:ascii="Times New Roman" w:hAnsi="Times New Roman"/>
          <w:sz w:val="24"/>
          <w:szCs w:val="24"/>
        </w:rPr>
        <w:t xml:space="preserve"> concerns the relation between statements and facts. Is there such a relation? And is it ineffable? The answer seems to me to be the following. </w:t>
      </w:r>
      <w:r w:rsidRPr="00B96794">
        <w:rPr>
          <w:rFonts w:ascii="Times New Roman" w:hAnsi="Times New Roman"/>
          <w:b/>
          <w:sz w:val="24"/>
          <w:szCs w:val="24"/>
        </w:rPr>
        <w:t xml:space="preserve">There is a meaning relation between statements and </w:t>
      </w:r>
      <w:r w:rsidRPr="00B96794">
        <w:rPr>
          <w:rFonts w:ascii="Times New Roman" w:hAnsi="Times New Roman"/>
          <w:b/>
          <w:i/>
          <w:sz w:val="24"/>
          <w:szCs w:val="24"/>
        </w:rPr>
        <w:t>facts</w:t>
      </w:r>
      <w:r w:rsidRPr="00B96794">
        <w:rPr>
          <w:rFonts w:ascii="Times New Roman" w:hAnsi="Times New Roman"/>
          <w:b/>
          <w:sz w:val="24"/>
          <w:szCs w:val="24"/>
        </w:rPr>
        <w:t>, but both terms are in the linguistic order</w:t>
      </w:r>
      <w:r w:rsidRPr="00B96794">
        <w:rPr>
          <w:rFonts w:ascii="Times New Roman" w:hAnsi="Times New Roman"/>
          <w:sz w:val="24"/>
          <w:szCs w:val="24"/>
        </w:rPr>
        <w:t>.”  [124]</w:t>
      </w:r>
      <w:r>
        <w:rPr>
          <w:rFonts w:ascii="Times New Roman" w:hAnsi="Times New Roman"/>
          <w:sz w:val="24"/>
          <w:szCs w:val="24"/>
        </w:rPr>
        <w:t xml:space="preserve"> </w:t>
      </w:r>
    </w:p>
    <w:p w14:paraId="308CDDC4" w14:textId="77777777" w:rsidR="00D94F07" w:rsidRPr="00D94F07" w:rsidRDefault="00D94F07" w:rsidP="00D94F07">
      <w:pPr>
        <w:pStyle w:val="ListParagraph"/>
        <w:numPr>
          <w:ilvl w:val="0"/>
          <w:numId w:val="1"/>
        </w:numPr>
        <w:spacing w:before="240" w:after="0" w:line="240" w:lineRule="auto"/>
        <w:ind w:left="360"/>
        <w:contextualSpacing w:val="0"/>
        <w:rPr>
          <w:rFonts w:ascii="Times New Roman" w:hAnsi="Times New Roman"/>
          <w:sz w:val="24"/>
          <w:szCs w:val="24"/>
        </w:rPr>
      </w:pPr>
      <w:r w:rsidRPr="00D94F07">
        <w:rPr>
          <w:rFonts w:ascii="Times New Roman" w:hAnsi="Times New Roman"/>
          <w:sz w:val="24"/>
          <w:szCs w:val="24"/>
        </w:rPr>
        <w:t>“</w:t>
      </w:r>
      <w:r w:rsidRPr="00D94F07">
        <w:rPr>
          <w:rFonts w:ascii="Times New Roman" w:hAnsi="Times New Roman"/>
          <w:color w:val="000000"/>
          <w:sz w:val="24"/>
          <w:szCs w:val="24"/>
        </w:rPr>
        <w:t xml:space="preserve">To say that a statement means a fact is to say, for example, </w:t>
      </w:r>
    </w:p>
    <w:p w14:paraId="27248737" w14:textId="77777777" w:rsidR="00D94F07" w:rsidRPr="00D94F07" w:rsidRDefault="00D94F07" w:rsidP="00D94F07">
      <w:pPr>
        <w:widowControl w:val="0"/>
        <w:autoSpaceDE w:val="0"/>
        <w:autoSpaceDN w:val="0"/>
        <w:adjustRightInd w:val="0"/>
        <w:spacing w:after="0" w:line="240" w:lineRule="auto"/>
        <w:ind w:right="60"/>
        <w:jc w:val="center"/>
        <w:rPr>
          <w:rFonts w:ascii="Times New Roman" w:hAnsi="Times New Roman"/>
          <w:color w:val="000000"/>
          <w:sz w:val="24"/>
          <w:szCs w:val="24"/>
        </w:rPr>
      </w:pPr>
      <w:r w:rsidRPr="00D94F07">
        <w:rPr>
          <w:rFonts w:ascii="Times New Roman" w:hAnsi="Times New Roman"/>
          <w:color w:val="000000"/>
          <w:sz w:val="24"/>
          <w:szCs w:val="24"/>
        </w:rPr>
        <w:t xml:space="preserve">‘Gruen a’ (in German) means </w:t>
      </w:r>
      <w:r w:rsidRPr="00D94F07">
        <w:rPr>
          <w:rFonts w:ascii="Times New Roman" w:hAnsi="Times New Roman"/>
          <w:i/>
          <w:color w:val="000000"/>
          <w:sz w:val="24"/>
          <w:szCs w:val="24"/>
        </w:rPr>
        <w:t>Green a</w:t>
      </w:r>
      <w:r w:rsidRPr="00D94F07">
        <w:rPr>
          <w:rFonts w:ascii="Times New Roman" w:hAnsi="Times New Roman"/>
          <w:color w:val="000000"/>
          <w:sz w:val="24"/>
          <w:szCs w:val="24"/>
        </w:rPr>
        <w:t>, and it is a fact that Green a,</w:t>
      </w:r>
    </w:p>
    <w:p w14:paraId="3F6408BF" w14:textId="77777777" w:rsidR="00D94F07" w:rsidRPr="00D94F07" w:rsidRDefault="00D94F07" w:rsidP="00D94F07">
      <w:pPr>
        <w:widowControl w:val="0"/>
        <w:autoSpaceDE w:val="0"/>
        <w:autoSpaceDN w:val="0"/>
        <w:adjustRightInd w:val="0"/>
        <w:spacing w:after="0" w:line="240" w:lineRule="auto"/>
        <w:ind w:right="60"/>
        <w:rPr>
          <w:rFonts w:ascii="Times New Roman" w:hAnsi="Times New Roman"/>
          <w:color w:val="000000"/>
          <w:sz w:val="24"/>
          <w:szCs w:val="24"/>
        </w:rPr>
      </w:pPr>
      <w:r w:rsidRPr="00D94F07">
        <w:rPr>
          <w:rFonts w:ascii="Times New Roman" w:hAnsi="Times New Roman"/>
          <w:color w:val="000000"/>
          <w:sz w:val="24"/>
          <w:szCs w:val="24"/>
        </w:rPr>
        <w:t xml:space="preserve">The first conjunct appears to assert a relation between a linguistic and a nonlinguistic item, between a statement and an item in the real order. And the second conjunct to say of this item that it is a fact. As I see it, the first conjunct does assert a relation, but the relation obtains between a German expression and an English expression </w:t>
      </w:r>
      <w:r w:rsidRPr="00D94F07">
        <w:rPr>
          <w:rFonts w:ascii="Times New Roman" w:hAnsi="Times New Roman"/>
          <w:i/>
          <w:color w:val="000000"/>
          <w:sz w:val="24"/>
          <w:szCs w:val="24"/>
        </w:rPr>
        <w:t>as being an expression in our language</w:t>
      </w:r>
      <w:r w:rsidRPr="00D94F07">
        <w:rPr>
          <w:rFonts w:ascii="Times New Roman" w:hAnsi="Times New Roman"/>
          <w:color w:val="000000"/>
          <w:sz w:val="24"/>
          <w:szCs w:val="24"/>
        </w:rPr>
        <w:t xml:space="preserve">. It has the force of </w:t>
      </w:r>
    </w:p>
    <w:p w14:paraId="7BB050F7" w14:textId="77777777" w:rsidR="00D94F07" w:rsidRPr="00D94F07" w:rsidRDefault="00D94F07" w:rsidP="00D94F07">
      <w:pPr>
        <w:pStyle w:val="StandardIndentCenter"/>
        <w:spacing w:before="0" w:after="0" w:line="240" w:lineRule="auto"/>
      </w:pPr>
      <w:r w:rsidRPr="00D94F07">
        <w:t>‘Gruen a’ (in German) corresponds to ‘Green a’ in our language.</w:t>
      </w:r>
      <w:r>
        <w:t>”  [124]</w:t>
      </w:r>
    </w:p>
    <w:p w14:paraId="361EFBCF" w14:textId="77777777" w:rsidR="001C49D5" w:rsidRPr="001C49D5" w:rsidRDefault="00D94F07" w:rsidP="001C49D5">
      <w:pPr>
        <w:pStyle w:val="ListParagraph"/>
        <w:numPr>
          <w:ilvl w:val="0"/>
          <w:numId w:val="1"/>
        </w:numPr>
        <w:spacing w:before="240" w:line="240" w:lineRule="auto"/>
        <w:ind w:left="360"/>
        <w:contextualSpacing w:val="0"/>
        <w:rPr>
          <w:rFonts w:ascii="Times New Roman" w:hAnsi="Times New Roman"/>
          <w:sz w:val="24"/>
          <w:szCs w:val="24"/>
        </w:rPr>
      </w:pPr>
      <w:r>
        <w:rPr>
          <w:rFonts w:ascii="Times New Roman" w:hAnsi="Times New Roman"/>
          <w:sz w:val="24"/>
          <w:szCs w:val="24"/>
        </w:rPr>
        <w:t xml:space="preserve">  </w:t>
      </w:r>
      <w:r w:rsidR="001C49D5" w:rsidRPr="001C49D5">
        <w:rPr>
          <w:rFonts w:ascii="Times New Roman" w:hAnsi="Times New Roman"/>
          <w:sz w:val="24"/>
          <w:szCs w:val="24"/>
        </w:rPr>
        <w:t>“</w:t>
      </w:r>
      <w:r w:rsidR="001C49D5" w:rsidRPr="001C49D5">
        <w:rPr>
          <w:rFonts w:ascii="Times New Roman" w:hAnsi="Times New Roman"/>
          <w:color w:val="000000"/>
          <w:sz w:val="24"/>
          <w:szCs w:val="24"/>
        </w:rPr>
        <w:t xml:space="preserve">What, then, does it mean to say </w:t>
      </w:r>
    </w:p>
    <w:p w14:paraId="5DAEF336" w14:textId="77777777" w:rsidR="001C49D5" w:rsidRPr="001C49D5" w:rsidRDefault="001C49D5" w:rsidP="001C49D5">
      <w:pPr>
        <w:pStyle w:val="StandardIndentCenter"/>
        <w:spacing w:before="0" w:after="0" w:line="240" w:lineRule="auto"/>
      </w:pPr>
      <w:r w:rsidRPr="001C49D5">
        <w:t>That green a is a fact</w:t>
      </w:r>
    </w:p>
    <w:p w14:paraId="1BB5559B" w14:textId="77777777" w:rsidR="001C49D5" w:rsidRPr="001C49D5" w:rsidRDefault="001C49D5" w:rsidP="001C49D5">
      <w:pPr>
        <w:widowControl w:val="0"/>
        <w:autoSpaceDE w:val="0"/>
        <w:autoSpaceDN w:val="0"/>
        <w:adjustRightInd w:val="0"/>
        <w:spacing w:after="0" w:line="240" w:lineRule="auto"/>
        <w:ind w:right="60"/>
        <w:rPr>
          <w:rFonts w:ascii="Times New Roman" w:hAnsi="Times New Roman"/>
          <w:color w:val="000000"/>
          <w:sz w:val="24"/>
          <w:szCs w:val="24"/>
        </w:rPr>
      </w:pPr>
      <w:r w:rsidRPr="001C49D5">
        <w:rPr>
          <w:rFonts w:ascii="Times New Roman" w:hAnsi="Times New Roman"/>
          <w:color w:val="000000"/>
          <w:sz w:val="24"/>
          <w:szCs w:val="24"/>
        </w:rPr>
        <w:t xml:space="preserve">Clearly this is equivalent to saying </w:t>
      </w:r>
    </w:p>
    <w:p w14:paraId="16A1DFDF" w14:textId="77777777" w:rsidR="001C49D5" w:rsidRPr="001C49D5" w:rsidRDefault="001C49D5" w:rsidP="001C49D5">
      <w:pPr>
        <w:pStyle w:val="StandardIndentCenter"/>
        <w:spacing w:before="0" w:after="0" w:line="240" w:lineRule="auto"/>
      </w:pPr>
      <w:r w:rsidRPr="001C49D5">
        <w:t>That green a is true</w:t>
      </w:r>
    </w:p>
    <w:p w14:paraId="5B162934" w14:textId="77777777" w:rsidR="001C49D5" w:rsidRPr="001C49D5" w:rsidRDefault="001C49D5" w:rsidP="001C49D5">
      <w:pPr>
        <w:widowControl w:val="0"/>
        <w:autoSpaceDE w:val="0"/>
        <w:autoSpaceDN w:val="0"/>
        <w:adjustRightInd w:val="0"/>
        <w:spacing w:after="0" w:line="240" w:lineRule="auto"/>
        <w:ind w:right="60"/>
        <w:rPr>
          <w:rFonts w:ascii="Times New Roman" w:hAnsi="Times New Roman"/>
          <w:color w:val="000000"/>
          <w:sz w:val="24"/>
          <w:szCs w:val="24"/>
        </w:rPr>
      </w:pPr>
      <w:r w:rsidRPr="001C49D5">
        <w:rPr>
          <w:rFonts w:ascii="Times New Roman" w:hAnsi="Times New Roman"/>
          <w:color w:val="000000"/>
          <w:sz w:val="24"/>
          <w:szCs w:val="24"/>
        </w:rPr>
        <w:t xml:space="preserve">which calls to mind the equivalence </w:t>
      </w:r>
    </w:p>
    <w:p w14:paraId="7C379CC2" w14:textId="77777777" w:rsidR="001C49D5" w:rsidRPr="001C49D5" w:rsidRDefault="001C49D5" w:rsidP="001C49D5">
      <w:pPr>
        <w:pStyle w:val="StandardIndentCenter"/>
        <w:spacing w:before="0" w:after="0" w:line="240" w:lineRule="auto"/>
      </w:pPr>
      <w:r w:rsidRPr="001C49D5">
        <w:t>That green a is true ≡ green a</w:t>
      </w:r>
    </w:p>
    <w:p w14:paraId="7C85BBC1" w14:textId="77777777" w:rsidR="001C49D5" w:rsidRPr="00E93C28" w:rsidRDefault="001C49D5" w:rsidP="001C49D5">
      <w:pPr>
        <w:widowControl w:val="0"/>
        <w:autoSpaceDE w:val="0"/>
        <w:autoSpaceDN w:val="0"/>
        <w:adjustRightInd w:val="0"/>
        <w:spacing w:after="0" w:line="240" w:lineRule="auto"/>
        <w:ind w:right="60"/>
        <w:rPr>
          <w:rFonts w:ascii="Times New Roman" w:hAnsi="Times New Roman"/>
          <w:b/>
          <w:color w:val="000000"/>
          <w:sz w:val="24"/>
          <w:szCs w:val="24"/>
        </w:rPr>
      </w:pPr>
      <w:r w:rsidRPr="001C49D5">
        <w:rPr>
          <w:rFonts w:ascii="Times New Roman" w:hAnsi="Times New Roman"/>
          <w:color w:val="000000"/>
          <w:sz w:val="24"/>
          <w:szCs w:val="24"/>
        </w:rPr>
        <w:t xml:space="preserve">This, however, is not the most perspicuous way to represent matters, for while the equivalence obtains, indeed necessarily obtains, </w:t>
      </w:r>
      <w:r w:rsidRPr="00E93C28">
        <w:rPr>
          <w:rFonts w:ascii="Times New Roman" w:hAnsi="Times New Roman"/>
          <w:b/>
          <w:color w:val="000000"/>
          <w:sz w:val="24"/>
          <w:szCs w:val="24"/>
        </w:rPr>
        <w:t xml:space="preserve">its truth depends on the principle of inference—and this is the crux— </w:t>
      </w:r>
    </w:p>
    <w:p w14:paraId="3180CFED" w14:textId="77777777" w:rsidR="001C49D5" w:rsidRPr="00E93C28" w:rsidRDefault="001C49D5" w:rsidP="001C49D5">
      <w:pPr>
        <w:pStyle w:val="StandardIndentCenter"/>
        <w:spacing w:before="0" w:after="0" w:line="240" w:lineRule="auto"/>
        <w:rPr>
          <w:b/>
        </w:rPr>
      </w:pPr>
      <w:r w:rsidRPr="00E93C28">
        <w:rPr>
          <w:b/>
        </w:rPr>
        <w:t>From ‘that green a is true’ (in our language) to infer ‘green a’ (in our language).</w:t>
      </w:r>
    </w:p>
    <w:p w14:paraId="35B597D5" w14:textId="77777777" w:rsidR="001C49D5" w:rsidRPr="001C49D5" w:rsidRDefault="001C49D5" w:rsidP="001C49D5">
      <w:pPr>
        <w:widowControl w:val="0"/>
        <w:autoSpaceDE w:val="0"/>
        <w:autoSpaceDN w:val="0"/>
        <w:adjustRightInd w:val="0"/>
        <w:spacing w:after="0" w:line="240" w:lineRule="auto"/>
        <w:ind w:right="60"/>
        <w:rPr>
          <w:rFonts w:ascii="Times New Roman" w:hAnsi="Times New Roman"/>
          <w:color w:val="000000"/>
          <w:sz w:val="24"/>
          <w:szCs w:val="24"/>
        </w:rPr>
      </w:pPr>
      <w:r w:rsidRPr="00E93C28">
        <w:rPr>
          <w:rFonts w:ascii="Times New Roman" w:hAnsi="Times New Roman"/>
          <w:b/>
          <w:color w:val="000000"/>
          <w:sz w:val="24"/>
          <w:szCs w:val="24"/>
        </w:rPr>
        <w:t xml:space="preserve">And it is by virtue of the fact that we </w:t>
      </w:r>
      <w:r w:rsidRPr="00E93C28">
        <w:rPr>
          <w:rFonts w:ascii="Times New Roman" w:hAnsi="Times New Roman"/>
          <w:b/>
          <w:i/>
          <w:color w:val="000000"/>
          <w:sz w:val="24"/>
          <w:szCs w:val="24"/>
        </w:rPr>
        <w:t>draw</w:t>
      </w:r>
      <w:r w:rsidRPr="00E93C28">
        <w:rPr>
          <w:rFonts w:ascii="Times New Roman" w:hAnsi="Times New Roman"/>
          <w:b/>
          <w:color w:val="000000"/>
          <w:sz w:val="24"/>
          <w:szCs w:val="24"/>
        </w:rPr>
        <w:t xml:space="preserve"> such inferences that meaning and truth talk gets its connection with the world. In this sense, the connection is </w:t>
      </w:r>
      <w:r w:rsidRPr="00E93C28">
        <w:rPr>
          <w:rFonts w:ascii="Times New Roman" w:hAnsi="Times New Roman"/>
          <w:b/>
          <w:i/>
          <w:color w:val="000000"/>
          <w:sz w:val="24"/>
          <w:szCs w:val="24"/>
        </w:rPr>
        <w:t>done</w:t>
      </w:r>
      <w:r w:rsidRPr="00E93C28">
        <w:rPr>
          <w:rFonts w:ascii="Times New Roman" w:hAnsi="Times New Roman"/>
          <w:b/>
          <w:color w:val="000000"/>
          <w:sz w:val="24"/>
          <w:szCs w:val="24"/>
        </w:rPr>
        <w:t xml:space="preserve"> rather than </w:t>
      </w:r>
      <w:r w:rsidRPr="00E93C28">
        <w:rPr>
          <w:rFonts w:ascii="Times New Roman" w:hAnsi="Times New Roman"/>
          <w:b/>
          <w:i/>
          <w:color w:val="000000"/>
          <w:sz w:val="24"/>
          <w:szCs w:val="24"/>
        </w:rPr>
        <w:t>talked about</w:t>
      </w:r>
      <w:r w:rsidRPr="001C49D5">
        <w:rPr>
          <w:rFonts w:ascii="Times New Roman" w:hAnsi="Times New Roman"/>
          <w:color w:val="000000"/>
          <w:sz w:val="24"/>
          <w:szCs w:val="24"/>
        </w:rPr>
        <w:t xml:space="preserve">. </w:t>
      </w:r>
    </w:p>
    <w:p w14:paraId="128E8CF7" w14:textId="77777777" w:rsidR="00B069FA" w:rsidRPr="00AA5BF5" w:rsidRDefault="001C49D5" w:rsidP="00AA5BF5">
      <w:pPr>
        <w:widowControl w:val="0"/>
        <w:autoSpaceDE w:val="0"/>
        <w:autoSpaceDN w:val="0"/>
        <w:adjustRightInd w:val="0"/>
        <w:spacing w:after="0" w:line="240" w:lineRule="auto"/>
        <w:ind w:right="60" w:firstLine="720"/>
        <w:rPr>
          <w:rFonts w:ascii="Times New Roman" w:hAnsi="Times New Roman"/>
          <w:color w:val="000000"/>
          <w:sz w:val="24"/>
          <w:szCs w:val="24"/>
        </w:rPr>
      </w:pPr>
      <w:r w:rsidRPr="001C49D5">
        <w:rPr>
          <w:rFonts w:ascii="Times New Roman" w:hAnsi="Times New Roman"/>
          <w:color w:val="000000"/>
          <w:sz w:val="24"/>
          <w:szCs w:val="24"/>
        </w:rPr>
        <w:t xml:space="preserve">Viewed from this perspective, Wittgenstein’s later conception of a language as a form of life is already foreshadowed by the ineffability thesis of the </w:t>
      </w:r>
      <w:r w:rsidRPr="001C49D5">
        <w:rPr>
          <w:rFonts w:ascii="Times New Roman" w:hAnsi="Times New Roman"/>
          <w:i/>
          <w:color w:val="000000"/>
          <w:sz w:val="24"/>
          <w:szCs w:val="24"/>
        </w:rPr>
        <w:t>Tractatus</w:t>
      </w:r>
      <w:r w:rsidRPr="001C49D5">
        <w:rPr>
          <w:rFonts w:ascii="Times New Roman" w:hAnsi="Times New Roman"/>
          <w:color w:val="000000"/>
          <w:sz w:val="24"/>
          <w:szCs w:val="24"/>
        </w:rPr>
        <w:t xml:space="preserve">. But to see this is to see that no ineffability is involved. </w:t>
      </w:r>
      <w:r w:rsidRPr="00E93C28">
        <w:rPr>
          <w:rFonts w:ascii="Times New Roman" w:hAnsi="Times New Roman"/>
          <w:b/>
          <w:color w:val="000000"/>
          <w:sz w:val="24"/>
          <w:szCs w:val="24"/>
        </w:rPr>
        <w:t>For while to infer is neither to refer to that which can be referred to, nor to assert that which can be asserted, this does not mean that it is to fail to eff something which is, therefore, ineffable.</w:t>
      </w:r>
      <w:r>
        <w:rPr>
          <w:rFonts w:ascii="Times New Roman" w:hAnsi="Times New Roman"/>
          <w:color w:val="000000"/>
          <w:sz w:val="24"/>
          <w:szCs w:val="24"/>
        </w:rPr>
        <w:t>”  [125]</w:t>
      </w:r>
    </w:p>
    <w:sectPr w:rsidR="00B069FA" w:rsidRPr="00AA5BF5" w:rsidSect="004C35F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66BFE" w14:textId="77777777" w:rsidR="00E077BB" w:rsidRDefault="00E077BB" w:rsidP="00B069FA">
      <w:pPr>
        <w:spacing w:after="0" w:line="240" w:lineRule="auto"/>
      </w:pPr>
      <w:r>
        <w:separator/>
      </w:r>
    </w:p>
  </w:endnote>
  <w:endnote w:type="continuationSeparator" w:id="0">
    <w:p w14:paraId="3E5A04FF" w14:textId="77777777" w:rsidR="00E077BB" w:rsidRDefault="00E077BB" w:rsidP="00B06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0AB4D" w14:textId="2DCE0AB7" w:rsidR="00B069FA" w:rsidRPr="00B069FA" w:rsidRDefault="00B069FA">
    <w:pPr>
      <w:pStyle w:val="Footer"/>
      <w:rPr>
        <w:rFonts w:ascii="Times New Roman" w:hAnsi="Times New Roman"/>
        <w:sz w:val="20"/>
        <w:szCs w:val="20"/>
      </w:rPr>
    </w:pPr>
    <w:r w:rsidRPr="00B069FA">
      <w:rPr>
        <w:rFonts w:ascii="Times New Roman" w:hAnsi="Times New Roman"/>
        <w:sz w:val="20"/>
        <w:szCs w:val="20"/>
      </w:rPr>
      <w:tab/>
    </w:r>
    <w:r w:rsidR="00D01989" w:rsidRPr="00B069FA">
      <w:rPr>
        <w:rFonts w:ascii="Times New Roman" w:hAnsi="Times New Roman"/>
        <w:sz w:val="20"/>
        <w:szCs w:val="20"/>
      </w:rPr>
      <w:fldChar w:fldCharType="begin"/>
    </w:r>
    <w:r w:rsidRPr="00B069FA">
      <w:rPr>
        <w:rFonts w:ascii="Times New Roman" w:hAnsi="Times New Roman"/>
        <w:sz w:val="20"/>
        <w:szCs w:val="20"/>
      </w:rPr>
      <w:instrText xml:space="preserve"> PAGE   \* MERGEFORMAT </w:instrText>
    </w:r>
    <w:r w:rsidR="00D01989" w:rsidRPr="00B069FA">
      <w:rPr>
        <w:rFonts w:ascii="Times New Roman" w:hAnsi="Times New Roman"/>
        <w:sz w:val="20"/>
        <w:szCs w:val="20"/>
      </w:rPr>
      <w:fldChar w:fldCharType="separate"/>
    </w:r>
    <w:r w:rsidR="00C01227">
      <w:rPr>
        <w:rFonts w:ascii="Times New Roman" w:hAnsi="Times New Roman"/>
        <w:noProof/>
        <w:sz w:val="20"/>
        <w:szCs w:val="20"/>
      </w:rPr>
      <w:t>6</w:t>
    </w:r>
    <w:r w:rsidR="00D01989" w:rsidRPr="00B069FA">
      <w:rPr>
        <w:rFonts w:ascii="Times New Roman" w:hAnsi="Times New Roman"/>
        <w:sz w:val="20"/>
        <w:szCs w:val="20"/>
      </w:rPr>
      <w:fldChar w:fldCharType="end"/>
    </w:r>
    <w:r w:rsidRPr="00B069FA">
      <w:rPr>
        <w:rFonts w:ascii="Times New Roman" w:hAnsi="Times New Roman"/>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E021FE" w14:textId="77777777" w:rsidR="00E077BB" w:rsidRDefault="00E077BB" w:rsidP="00B069FA">
      <w:pPr>
        <w:spacing w:after="0" w:line="240" w:lineRule="auto"/>
      </w:pPr>
      <w:r>
        <w:separator/>
      </w:r>
    </w:p>
  </w:footnote>
  <w:footnote w:type="continuationSeparator" w:id="0">
    <w:p w14:paraId="7F958F66" w14:textId="77777777" w:rsidR="00E077BB" w:rsidRDefault="00E077BB" w:rsidP="00B06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3A415F" w14:textId="77777777" w:rsidR="00B069FA" w:rsidRPr="00B069FA" w:rsidRDefault="00B069FA">
    <w:pPr>
      <w:pStyle w:val="Header"/>
      <w:rPr>
        <w:rFonts w:ascii="Times New Roman" w:hAnsi="Times New Roman"/>
        <w:sz w:val="20"/>
        <w:szCs w:val="20"/>
      </w:rPr>
    </w:pPr>
    <w:r>
      <w:tab/>
    </w:r>
    <w:r>
      <w:tab/>
    </w:r>
    <w:r w:rsidRPr="00B069FA">
      <w:rPr>
        <w:rFonts w:ascii="Times New Roman" w:hAnsi="Times New Roman"/>
        <w:sz w:val="20"/>
        <w:szCs w:val="20"/>
      </w:rPr>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DD3BA0"/>
    <w:multiLevelType w:val="hybridMultilevel"/>
    <w:tmpl w:val="48D45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FBE"/>
    <w:rsid w:val="00020259"/>
    <w:rsid w:val="000305C8"/>
    <w:rsid w:val="00066065"/>
    <w:rsid w:val="001C49D5"/>
    <w:rsid w:val="00313E09"/>
    <w:rsid w:val="00326B17"/>
    <w:rsid w:val="00333C9E"/>
    <w:rsid w:val="0036308E"/>
    <w:rsid w:val="0038752A"/>
    <w:rsid w:val="00395F19"/>
    <w:rsid w:val="003A2A95"/>
    <w:rsid w:val="003E5A1E"/>
    <w:rsid w:val="003F13D4"/>
    <w:rsid w:val="00401706"/>
    <w:rsid w:val="00425AED"/>
    <w:rsid w:val="00426835"/>
    <w:rsid w:val="004825B4"/>
    <w:rsid w:val="00496B1C"/>
    <w:rsid w:val="004C35F8"/>
    <w:rsid w:val="004C7D8E"/>
    <w:rsid w:val="004E1E19"/>
    <w:rsid w:val="004E3E8A"/>
    <w:rsid w:val="00574B9E"/>
    <w:rsid w:val="00593FA5"/>
    <w:rsid w:val="006156C8"/>
    <w:rsid w:val="006163F1"/>
    <w:rsid w:val="00667F14"/>
    <w:rsid w:val="00687233"/>
    <w:rsid w:val="006A0AD0"/>
    <w:rsid w:val="0071511E"/>
    <w:rsid w:val="00742FB9"/>
    <w:rsid w:val="00755726"/>
    <w:rsid w:val="0077580B"/>
    <w:rsid w:val="007867E3"/>
    <w:rsid w:val="00796A16"/>
    <w:rsid w:val="007B55C1"/>
    <w:rsid w:val="007C01A0"/>
    <w:rsid w:val="008B12E8"/>
    <w:rsid w:val="008C41AF"/>
    <w:rsid w:val="008E5B67"/>
    <w:rsid w:val="00906459"/>
    <w:rsid w:val="009B2E3D"/>
    <w:rsid w:val="00A155C9"/>
    <w:rsid w:val="00A222EC"/>
    <w:rsid w:val="00A67699"/>
    <w:rsid w:val="00AA5BF5"/>
    <w:rsid w:val="00AD5542"/>
    <w:rsid w:val="00AF238B"/>
    <w:rsid w:val="00B069FA"/>
    <w:rsid w:val="00B21C0A"/>
    <w:rsid w:val="00B641E2"/>
    <w:rsid w:val="00B77953"/>
    <w:rsid w:val="00B96794"/>
    <w:rsid w:val="00B97AF2"/>
    <w:rsid w:val="00BA51D1"/>
    <w:rsid w:val="00BC5535"/>
    <w:rsid w:val="00C01227"/>
    <w:rsid w:val="00C4609B"/>
    <w:rsid w:val="00C55DB2"/>
    <w:rsid w:val="00CF1373"/>
    <w:rsid w:val="00D01989"/>
    <w:rsid w:val="00D57FBE"/>
    <w:rsid w:val="00D87FE9"/>
    <w:rsid w:val="00D94F07"/>
    <w:rsid w:val="00DC2147"/>
    <w:rsid w:val="00E077BB"/>
    <w:rsid w:val="00E36965"/>
    <w:rsid w:val="00E42AD3"/>
    <w:rsid w:val="00E45E4B"/>
    <w:rsid w:val="00E75C06"/>
    <w:rsid w:val="00E847AD"/>
    <w:rsid w:val="00E93C28"/>
    <w:rsid w:val="00ED3089"/>
    <w:rsid w:val="00F001DE"/>
    <w:rsid w:val="00F017DA"/>
    <w:rsid w:val="00F23AF2"/>
    <w:rsid w:val="00F42C8A"/>
    <w:rsid w:val="00F66014"/>
    <w:rsid w:val="00F73205"/>
    <w:rsid w:val="00FD4801"/>
    <w:rsid w:val="00FF4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31B57"/>
  <w15:docId w15:val="{F70B6CD6-EF4E-47C3-99E4-C1BD2B8A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5F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69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9FA"/>
  </w:style>
  <w:style w:type="paragraph" w:styleId="Footer">
    <w:name w:val="footer"/>
    <w:basedOn w:val="Normal"/>
    <w:link w:val="FooterChar"/>
    <w:uiPriority w:val="99"/>
    <w:unhideWhenUsed/>
    <w:rsid w:val="00B069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9FA"/>
  </w:style>
  <w:style w:type="paragraph" w:styleId="BalloonText">
    <w:name w:val="Balloon Text"/>
    <w:basedOn w:val="Normal"/>
    <w:link w:val="BalloonTextChar"/>
    <w:uiPriority w:val="99"/>
    <w:semiHidden/>
    <w:unhideWhenUsed/>
    <w:rsid w:val="00B069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9FA"/>
    <w:rPr>
      <w:rFonts w:ascii="Tahoma" w:hAnsi="Tahoma" w:cs="Tahoma"/>
      <w:sz w:val="16"/>
      <w:szCs w:val="16"/>
    </w:rPr>
  </w:style>
  <w:style w:type="paragraph" w:styleId="ListParagraph">
    <w:name w:val="List Paragraph"/>
    <w:basedOn w:val="Normal"/>
    <w:uiPriority w:val="34"/>
    <w:qFormat/>
    <w:rsid w:val="00B069FA"/>
    <w:pPr>
      <w:ind w:left="720"/>
      <w:contextualSpacing/>
    </w:pPr>
  </w:style>
  <w:style w:type="paragraph" w:customStyle="1" w:styleId="StandardIndent">
    <w:name w:val="Standard Indent"/>
    <w:basedOn w:val="Normal"/>
    <w:rsid w:val="006163F1"/>
    <w:pPr>
      <w:spacing w:before="240" w:after="240" w:line="480" w:lineRule="auto"/>
      <w:ind w:left="720"/>
    </w:pPr>
    <w:rPr>
      <w:rFonts w:ascii="Times New Roman" w:eastAsia="Times New Roman" w:hAnsi="Times New Roman"/>
      <w:color w:val="000000"/>
      <w:sz w:val="24"/>
      <w:szCs w:val="24"/>
    </w:rPr>
  </w:style>
  <w:style w:type="paragraph" w:customStyle="1" w:styleId="StandardIndentCenter">
    <w:name w:val="Standard Indent Center"/>
    <w:basedOn w:val="StandardIndent"/>
    <w:rsid w:val="006163F1"/>
    <w:pPr>
      <w:ind w:left="0"/>
      <w:jc w:val="center"/>
    </w:pPr>
  </w:style>
  <w:style w:type="paragraph" w:styleId="EndnoteText">
    <w:name w:val="endnote text"/>
    <w:basedOn w:val="Normal"/>
    <w:link w:val="EndnoteTextChar"/>
    <w:semiHidden/>
    <w:rsid w:val="00BC5535"/>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semiHidden/>
    <w:rsid w:val="00BC5535"/>
    <w:rPr>
      <w:rFonts w:ascii="Times New Roman" w:eastAsia="Times New Roman" w:hAnsi="Times New Roman"/>
    </w:rPr>
  </w:style>
  <w:style w:type="character" w:styleId="EndnoteReference">
    <w:name w:val="endnote reference"/>
    <w:basedOn w:val="DefaultParagraphFont"/>
    <w:semiHidden/>
    <w:rsid w:val="00BC55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b\AppData\Roaming\Microsoft\Templates\Doc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Doc1.dotx</Template>
  <TotalTime>21</TotalTime>
  <Pages>6</Pages>
  <Words>2683</Words>
  <Characters>15299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 Brandom</dc:creator>
  <cp:lastModifiedBy>Brandom, Robert</cp:lastModifiedBy>
  <cp:revision>5</cp:revision>
  <dcterms:created xsi:type="dcterms:W3CDTF">2019-11-05T14:58:00Z</dcterms:created>
  <dcterms:modified xsi:type="dcterms:W3CDTF">2019-11-05T15:43:00Z</dcterms:modified>
</cp:coreProperties>
</file>