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b w:val="0"/>
          <w:i w:val="0"/>
          <w:sz w:val="22"/>
        </w:rPr>
      </w:r>
    </w:p>
    <w:p>
      <w:pPr>
        <w:spacing w:before="0" w:after="0"/>
      </w:pPr>
      <w:r>
        <w:rPr>
          <w:b w:val="0"/>
          <w:i w:val="0"/>
          <w:sz w:val="22"/>
        </w:rPr>
      </w:r>
    </w:p>
    <w:p>
      <w:pPr>
        <w:spacing w:before="0" w:after="0"/>
      </w:pPr>
      <w:r>
        <w:rPr>
          <w:b w:val="0"/>
          <w:i w:val="0"/>
          <w:sz w:val="22"/>
        </w:rPr>
      </w:r>
    </w:p>
    <w:p>
      <w:pPr>
        <w:spacing w:before="0" w:after="0"/>
      </w:pPr>
      <w:r>
        <w:rPr>
          <w:b w:val="0"/>
          <w:i w:val="0"/>
          <w:sz w:val="22"/>
        </w:rPr>
      </w:r>
    </w:p>
    <w:p>
      <w:pPr>
        <w:spacing w:before="2400" w:after="240"/>
        <w:jc w:val="center"/>
      </w:pPr>
      <w:r>
        <w:rPr>
          <w:b/>
          <w:i w:val="0"/>
          <w:sz w:val="72"/>
        </w:rPr>
        <w:t>DIAGNOSIS: CURE</w:t>
      </w:r>
    </w:p>
    <w:p>
      <w:pPr>
        <w:spacing w:before="0" w:after="120"/>
        <w:jc w:val="center"/>
      </w:pPr>
      <w:r>
        <w:rPr>
          <w:b w:val="0"/>
          <w:i/>
          <w:sz w:val="32"/>
        </w:rPr>
        <w:t>Future Shock at Fifty-Six</w:t>
      </w:r>
    </w:p>
    <w:p>
      <w:pPr>
        <w:spacing w:before="0" w:after="960"/>
        <w:jc w:val="center"/>
      </w:pPr>
      <w:r>
        <w:rPr>
          <w:b w:val="0"/>
          <w:i w:val="0"/>
          <w:color w:val="595959"/>
          <w:sz w:val="24"/>
        </w:rPr>
        <w:t>A Book-Length Review of Alvin Toffler’s 1970 Diagnosis — and a Prescription for Our Own Accelerating Age</w:t>
      </w:r>
    </w:p>
    <w:p>
      <w:pPr>
        <w:spacing w:before="0" w:after="120"/>
        <w:jc w:val="center"/>
      </w:pPr>
      <w:r>
        <w:rPr>
          <w:b w:val="0"/>
          <w:i w:val="0"/>
          <w:sz w:val="28"/>
        </w:rPr>
        <w:t>Russ Riehl</w:t>
      </w:r>
    </w:p>
    <w:p>
      <w:pPr>
        <w:spacing w:before="0" w:after="120"/>
        <w:jc w:val="center"/>
      </w:pPr>
      <w:r>
        <w:rPr>
          <w:b w:val="0"/>
          <w:i w:val="0"/>
          <w:color w:val="595959"/>
          <w:sz w:val="20"/>
        </w:rPr>
        <w:t>Working Draft • July 2026</w:t>
      </w:r>
    </w:p>
    <w:p>
      <w:r>
        <w:br w:type="page"/>
      </w:r>
    </w:p>
    <w:p>
      <w:pPr>
        <w:spacing w:before="0" w:after="360"/>
      </w:pPr>
      <w:r>
        <w:rPr>
          <w:b/>
          <w:i w:val="0"/>
          <w:sz w:val="44"/>
        </w:rPr>
        <w:t>Table of Contents</w:t>
      </w:r>
    </w:p>
    <w:p>
      <w:pPr>
        <w:spacing w:before="200" w:after="40"/>
      </w:pPr>
      <w:r>
        <w:rPr>
          <w:b/>
          <w:sz w:val="26"/>
        </w:rPr>
        <w:t xml:space="preserve">Introduction.  </w:t>
      </w:r>
      <w:r>
        <w:rPr>
          <w:b/>
          <w:sz w:val="26"/>
        </w:rPr>
        <w:t>The Patient Presents</w:t>
      </w:r>
    </w:p>
    <w:p>
      <w:pPr>
        <w:spacing w:after="160"/>
        <w:ind w:left="504"/>
      </w:pPr>
      <w:r>
        <w:rPr>
          <w:i/>
          <w:color w:val="595959"/>
          <w:sz w:val="20"/>
        </w:rPr>
        <w:t>In 1970, Alvin Toffler diagnosed a new disease: future shock — the shattering stress and disorientation induced in individuals by too much change in too short a time. Fifty-six years later, we reopen the chart. Was the diagnosis right? And where is the cure?</w:t>
      </w:r>
    </w:p>
    <w:p>
      <w:pPr>
        <w:spacing w:before="200" w:after="40"/>
      </w:pPr>
      <w:r>
        <w:rPr>
          <w:b/>
          <w:sz w:val="26"/>
        </w:rPr>
        <w:t xml:space="preserve">Chapter 1.  </w:t>
      </w:r>
      <w:r>
        <w:rPr>
          <w:b/>
          <w:sz w:val="26"/>
        </w:rPr>
        <w:t>The Death of Permanence</w:t>
      </w:r>
    </w:p>
    <w:p>
      <w:pPr>
        <w:spacing w:after="160"/>
        <w:ind w:left="504"/>
      </w:pPr>
      <w:r>
        <w:rPr>
          <w:i/>
          <w:color w:val="595959"/>
          <w:sz w:val="20"/>
        </w:rPr>
        <w:t>Responding to Part One. Toffler’s core claim — the accelerative thrust — and whether the 800th lifetime he described has become our permanent condition. The diagnosis examined against a half-century of evidence.</w:t>
      </w:r>
    </w:p>
    <w:p>
      <w:pPr>
        <w:spacing w:before="200" w:after="40"/>
      </w:pPr>
      <w:r>
        <w:rPr>
          <w:b/>
          <w:sz w:val="26"/>
        </w:rPr>
        <w:t xml:space="preserve">Chapter 2.  </w:t>
      </w:r>
      <w:r>
        <w:rPr>
          <w:b/>
          <w:sz w:val="26"/>
        </w:rPr>
        <w:t>Transience</w:t>
      </w:r>
    </w:p>
    <w:p>
      <w:pPr>
        <w:spacing w:after="160"/>
        <w:ind w:left="504"/>
      </w:pPr>
      <w:r>
        <w:rPr>
          <w:i/>
          <w:color w:val="595959"/>
          <w:sz w:val="20"/>
        </w:rPr>
        <w:t>Responding to Part Two. The throwaway society, rental relationships, and “modular man.” From paper dresses to the gig economy, subscription living, and disposable digital relationships — what Toffler saw coming, and what he underestimated.</w:t>
      </w:r>
    </w:p>
    <w:p>
      <w:pPr>
        <w:spacing w:before="200" w:after="40"/>
      </w:pPr>
      <w:r>
        <w:rPr>
          <w:b/>
          <w:sz w:val="26"/>
        </w:rPr>
        <w:t xml:space="preserve">Chapter 3.  </w:t>
      </w:r>
      <w:r>
        <w:rPr>
          <w:b/>
          <w:sz w:val="26"/>
        </w:rPr>
        <w:t>Novelty</w:t>
      </w:r>
    </w:p>
    <w:p>
      <w:pPr>
        <w:spacing w:after="160"/>
        <w:ind w:left="504"/>
      </w:pPr>
      <w:r>
        <w:rPr>
          <w:i/>
          <w:color w:val="595959"/>
          <w:sz w:val="20"/>
        </w:rPr>
        <w:t>Responding to Part Three. Engineered experiences, the fractured family, and the pre-designed environment. Toffler’s misses (undersea cities) and his uncanny hits (the experience economy, on-demand identity) — and why the misses matter as much as the hits.</w:t>
      </w:r>
    </w:p>
    <w:p>
      <w:pPr>
        <w:spacing w:before="200" w:after="40"/>
      </w:pPr>
      <w:r>
        <w:rPr>
          <w:b/>
          <w:sz w:val="26"/>
        </w:rPr>
        <w:t xml:space="preserve">Chapter 4.  </w:t>
      </w:r>
      <w:r>
        <w:rPr>
          <w:b/>
          <w:sz w:val="26"/>
        </w:rPr>
        <w:t>Diversity</w:t>
      </w:r>
    </w:p>
    <w:p>
      <w:pPr>
        <w:spacing w:after="160"/>
        <w:ind w:left="504"/>
      </w:pPr>
      <w:r>
        <w:rPr>
          <w:i/>
          <w:color w:val="595959"/>
          <w:sz w:val="20"/>
        </w:rPr>
        <w:t>Responding to Part Four. Overchoice: Toffler feared freedom would drown us in options. Enter the algorithm — the cure for overchoice that became a new disease. Subcults, tribes, and the fragmentation he predicted, now sorted by feed.</w:t>
      </w:r>
    </w:p>
    <w:p>
      <w:pPr>
        <w:spacing w:before="200" w:after="40"/>
      </w:pPr>
      <w:r>
        <w:rPr>
          <w:b/>
          <w:sz w:val="26"/>
        </w:rPr>
        <w:t xml:space="preserve">Chapter 5.  </w:t>
      </w:r>
      <w:r>
        <w:rPr>
          <w:b/>
          <w:sz w:val="26"/>
        </w:rPr>
        <w:t>The Limits of Adaptability</w:t>
      </w:r>
    </w:p>
    <w:p>
      <w:pPr>
        <w:spacing w:after="160"/>
        <w:ind w:left="504"/>
      </w:pPr>
      <w:r>
        <w:rPr>
          <w:i/>
          <w:color w:val="595959"/>
          <w:sz w:val="20"/>
        </w:rPr>
        <w:t>Responding to Part Five. Information overload, decision stress, and the overstimulated individual. The chapter where Toffler’s diagnosis reads most like today’s news: the anxiety epidemic, attention collapse, and the biology of too much, too fast.</w:t>
      </w:r>
    </w:p>
    <w:p>
      <w:pPr>
        <w:spacing w:before="200" w:after="40"/>
      </w:pPr>
      <w:r>
        <w:rPr>
          <w:b/>
          <w:sz w:val="26"/>
        </w:rPr>
        <w:t xml:space="preserve">Chapter 6.  </w:t>
      </w:r>
      <w:r>
        <w:rPr>
          <w:b/>
          <w:sz w:val="26"/>
        </w:rPr>
        <w:t>Strategies for Survival</w:t>
      </w:r>
    </w:p>
    <w:p>
      <w:pPr>
        <w:spacing w:after="160"/>
        <w:ind w:left="504"/>
      </w:pPr>
      <w:r>
        <w:rPr>
          <w:i/>
          <w:color w:val="595959"/>
          <w:sz w:val="20"/>
        </w:rPr>
        <w:t>Responding to Part Six. Grading Toffler’s prescriptions — personal stability zones, enclaves of the past, anticipatory democracy, education for the future. Which cures were tried, which were ignored, and which failed on contact.</w:t>
      </w:r>
    </w:p>
    <w:p>
      <w:pPr>
        <w:spacing w:before="200" w:after="40"/>
      </w:pPr>
      <w:r>
        <w:rPr>
          <w:b/>
          <w:sz w:val="26"/>
        </w:rPr>
        <w:t xml:space="preserve">Conclusion.  </w:t>
      </w:r>
      <w:r>
        <w:rPr>
          <w:b/>
          <w:sz w:val="26"/>
        </w:rPr>
        <w:t>A New Prescription</w:t>
      </w:r>
    </w:p>
    <w:p>
      <w:pPr>
        <w:spacing w:after="160"/>
        <w:ind w:left="504"/>
      </w:pPr>
      <w:r>
        <w:rPr>
          <w:i/>
          <w:color w:val="595959"/>
          <w:sz w:val="20"/>
        </w:rPr>
        <w:t>The cure, updated. If future shock is now the ambient condition of life in the AI era, what does treatment look like in 2026? A prescription for individuals, institutions, and a society that never slowed down.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