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Diagnosis:</w:t>
      </w:r>
      <w:r>
        <w:t xml:space="preserve"> </w:t>
      </w:r>
      <w:r>
        <w:t xml:space="preserve">Cure</w:t>
      </w:r>
    </w:p>
    <w:p>
      <w:pPr>
        <w:pStyle w:val="Subtitle"/>
      </w:pPr>
      <w:r>
        <w:t xml:space="preserve">Future</w:t>
      </w:r>
      <w:r>
        <w:t xml:space="preserve"> </w:t>
      </w:r>
      <w:r>
        <w:t xml:space="preserve">Shock</w:t>
      </w:r>
      <w:r>
        <w:t xml:space="preserve"> </w:t>
      </w:r>
      <w:r>
        <w:t xml:space="preserve">at</w:t>
      </w:r>
      <w:r>
        <w:t xml:space="preserve"> </w:t>
      </w:r>
      <w:r>
        <w:t xml:space="preserve">Fifty-Six</w:t>
      </w:r>
      <w:r>
        <w:t xml:space="preserve"> </w:t>
      </w:r>
      <w:r>
        <w:t xml:space="preserve">—</w:t>
      </w:r>
      <w:r>
        <w:t xml:space="preserve"> </w:t>
      </w:r>
      <w:r>
        <w:t xml:space="preserve">A</w:t>
      </w:r>
      <w:r>
        <w:t xml:space="preserve"> </w:t>
      </w:r>
      <w:r>
        <w:t xml:space="preserve">Book-Length</w:t>
      </w:r>
      <w:r>
        <w:t xml:space="preserve"> </w:t>
      </w:r>
      <w:r>
        <w:t xml:space="preserve">Review</w:t>
      </w:r>
      <w:r>
        <w:t xml:space="preserve"> </w:t>
      </w:r>
      <w:r>
        <w:t xml:space="preserve">of</w:t>
      </w:r>
      <w:r>
        <w:t xml:space="preserve"> </w:t>
      </w:r>
      <w:r>
        <w:t xml:space="preserve">Alvin</w:t>
      </w:r>
      <w:r>
        <w:t xml:space="preserve"> </w:t>
      </w:r>
      <w:r>
        <w:t xml:space="preserve">Toffler’s</w:t>
      </w:r>
      <w:r>
        <w:t xml:space="preserve"> </w:t>
      </w:r>
      <w:r>
        <w:t xml:space="preserve">1970</w:t>
      </w:r>
      <w:r>
        <w:t xml:space="preserve"> </w:t>
      </w:r>
      <w:r>
        <w:t xml:space="preserve">Diagnosis,</w:t>
      </w:r>
      <w:r>
        <w:t xml:space="preserve"> </w:t>
      </w:r>
      <w:r>
        <w:t xml:space="preserve">and</w:t>
      </w:r>
      <w:r>
        <w:t xml:space="preserve"> </w:t>
      </w:r>
      <w:r>
        <w:t xml:space="preserve">a</w:t>
      </w:r>
      <w:r>
        <w:t xml:space="preserve"> </w:t>
      </w:r>
      <w:r>
        <w:t xml:space="preserve">Prescription</w:t>
      </w:r>
      <w:r>
        <w:t xml:space="preserve"> </w:t>
      </w:r>
      <w:r>
        <w:t xml:space="preserve">for</w:t>
      </w:r>
      <w:r>
        <w:t xml:space="preserve"> </w:t>
      </w:r>
      <w:r>
        <w:t xml:space="preserve">Our</w:t>
      </w:r>
      <w:r>
        <w:t xml:space="preserve"> </w:t>
      </w:r>
      <w:r>
        <w:t xml:space="preserve">Own</w:t>
      </w:r>
      <w:r>
        <w:t xml:space="preserve"> </w:t>
      </w:r>
      <w:r>
        <w:t xml:space="preserve">Accelerating</w:t>
      </w:r>
      <w:r>
        <w:t xml:space="preserve"> </w:t>
      </w:r>
      <w:r>
        <w:t xml:space="preserve">Age</w:t>
      </w:r>
    </w:p>
    <w:p>
      <w:pPr>
        <w:pStyle w:val="Author"/>
      </w:pPr>
      <w:r>
        <w:t xml:space="preserve">Russ</w:t>
      </w:r>
      <w:r>
        <w:t xml:space="preserve"> </w:t>
      </w:r>
      <w:r>
        <w:t xml:space="preserve">Riehl</w:t>
      </w:r>
    </w:p>
    <w:p>
      <w:pPr>
        <w:pStyle w:val="Date"/>
      </w:pPr>
      <w:r>
        <w:t xml:space="preserve">Working</w:t>
      </w:r>
      <w:r>
        <w:t xml:space="preserve"> </w:t>
      </w:r>
      <w:r>
        <w:t xml:space="preserve">Draft</w:t>
      </w:r>
      <w:r>
        <w:t xml:space="preserve"> </w:t>
      </w:r>
      <w:r>
        <w:t xml:space="preserve">v3</w:t>
      </w:r>
      <w:r>
        <w:t xml:space="preserve"> </w:t>
      </w:r>
      <w:r>
        <w:t xml:space="preserve">·</w:t>
      </w:r>
      <w:r>
        <w:t xml:space="preserve"> </w:t>
      </w:r>
      <w:r>
        <w:t xml:space="preserve">July</w:t>
      </w:r>
      <w:r>
        <w:t xml:space="preserve"> </w:t>
      </w:r>
      <w:r>
        <w:t xml:space="preserve">6,</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introduction-the-patient-presents"/>
      <w:r>
        <w:t xml:space="preserve">Introduction — The Patient Presents</w:t>
      </w:r>
      <w:bookmarkEnd w:id="20"/>
    </w:p>
    <w:p>
      <w:pPr>
        <w:pStyle w:val="Heading2"/>
      </w:pPr>
      <w:bookmarkStart w:id="21" w:name="the-chart-1970"/>
      <w:r>
        <w:t xml:space="preserve">The Chart, 1970</w:t>
      </w:r>
      <w:bookmarkEnd w:id="21"/>
    </w:p>
    <w:p>
      <w:pPr>
        <w:pStyle w:val="FirstParagraph"/>
      </w:pPr>
      <w:r>
        <w:t xml:space="preserve">Every case begins with an intake note, so let us write this one properly. In the summer of 1970, Random House published a fat, urgent book by a forty-one-year-old former magazine editor named Alvin Toffler. The book claimed that industrial civilization was suffering from a disease nobody had named, and it proposed the name on the cover:</w:t>
      </w:r>
      <w:r>
        <w:t xml:space="preserve"> </w:t>
      </w:r>
      <w:r>
        <w:rPr>
          <w:i/>
        </w:rPr>
        <w:t xml:space="preserve">Future Shock</w:t>
      </w:r>
      <w:r>
        <w:t xml:space="preserve">. The condition, Toffler wrote, was what happens to people subjected to</w:t>
      </w:r>
      <w:r>
        <w:t xml:space="preserve"> </w:t>
      </w:r>
      <w:r>
        <w:t xml:space="preserve">“</w:t>
      </w:r>
      <w:r>
        <w:t xml:space="preserve">too much change in too short a period of time</w:t>
      </w:r>
      <w:r>
        <w:t xml:space="preserve">”</w:t>
      </w:r>
      <w:r>
        <w:t xml:space="preserve"> </w:t>
      </w:r>
      <w:r>
        <w:t xml:space="preserve">— a real sickness, he insisted, with physical and psychological symptoms, arising not from any particular change but from the accelerating rate of change itself. The future was no longer arriving on schedule. It was arriving early, in bulk, and the human nervous system had not been consulted.</w:t>
      </w:r>
    </w:p>
    <w:p>
      <w:pPr>
        <w:pStyle w:val="BodyText"/>
      </w:pPr>
      <w:r>
        <w:t xml:space="preserve">The diagnosis landed with a force that is difficult to reconstruct now.</w:t>
      </w:r>
      <w:r>
        <w:t xml:space="preserve"> </w:t>
      </w:r>
      <w:r>
        <w:rPr>
          <w:i/>
        </w:rPr>
        <w:t xml:space="preserve">Future Shock</w:t>
      </w:r>
      <w:r>
        <w:t xml:space="preserve"> </w:t>
      </w:r>
      <w:r>
        <w:t xml:space="preserve">became one of the defining bestsellers of its decade, selling well over five million copies in the United States and more than six million worldwide by the accounts given in Toffler’s obituaries (NPR, 2016; TheWrap, 2016). It was translated into dozens of languages, taught in classrooms, quoted by politicians, and adapted into a 1972 documentary film narrated — improbably, magnificently — by Orson Welles, cigar in hand, gliding along an airport people mover while intoning about the premature arrival of the future (Open Culture, 2014). The title itself escaped the book entirely and entered the language, which is the rarest thing a work of social forecasting can achieve. People who never read a page of Toffler still know what future shock means. They suspect they have it.</w:t>
      </w:r>
    </w:p>
    <w:p>
      <w:pPr>
        <w:pStyle w:val="BodyText"/>
      </w:pPr>
      <w:r>
        <w:t xml:space="preserve">The author of this diagnosis was not, on paper, an obvious candidate to deliver it. Alvin Toffler was born in Brooklyn in 1928, the son of Polish-Jewish immigrants, and after university he did something almost no aspiring intellectual of his generation did: he went to the factory floor on purpose. He and his wife Heidi spent roughly five years in industrial jobs in the Midwest — Alvin as a millwright and welder on assembly lines, Heidi as a union shop steward in an aluminum foundry — because they wanted to understand industrial society from inside it before writing about it (Wikipedia; IndustryWeek, 2016). In 1959 Fortune magazine brought him to New York as its labor columnist, and the welder became an editor at the house journal of American capitalism. The idea that would consume the rest of his life first appeared in a 1965 essay in</w:t>
      </w:r>
      <w:r>
        <w:t xml:space="preserve"> </w:t>
      </w:r>
      <w:r>
        <w:rPr>
          <w:i/>
        </w:rPr>
        <w:t xml:space="preserve">Horizon</w:t>
      </w:r>
      <w:r>
        <w:t xml:space="preserve"> </w:t>
      </w:r>
      <w:r>
        <w:t xml:space="preserve">magazine titled</w:t>
      </w:r>
      <w:r>
        <w:t xml:space="preserve"> </w:t>
      </w:r>
      <w:r>
        <w:t xml:space="preserve">“</w:t>
      </w:r>
      <w:r>
        <w:t xml:space="preserve">The Future as a Way of Life,</w:t>
      </w:r>
      <w:r>
        <w:t xml:space="preserve">”</w:t>
      </w:r>
      <w:r>
        <w:t xml:space="preserve"> </w:t>
      </w:r>
      <w:r>
        <w:t xml:space="preserve">where he coined the term</w:t>
      </w:r>
      <w:r>
        <w:t xml:space="preserve"> </w:t>
      </w:r>
      <w:r>
        <w:t xml:space="preserve">“</w:t>
      </w:r>
      <w:r>
        <w:t xml:space="preserve">future shock</w:t>
      </w:r>
      <w:r>
        <w:t xml:space="preserve">”</w:t>
      </w:r>
      <w:r>
        <w:t xml:space="preserve"> </w:t>
      </w:r>
      <w:r>
        <w:t xml:space="preserve">by analogy to culture shock: the disorientation of a traveler dropped into a foreign society, except that here the foreign society is one’s own country, a few years ahead of schedule, and there is no flight home.</w:t>
      </w:r>
    </w:p>
    <w:p>
      <w:pPr>
        <w:pStyle w:val="BodyText"/>
      </w:pPr>
      <w:r>
        <w:t xml:space="preserve">One more line belongs in the intake note, because the historical record was slow to add it.</w:t>
      </w:r>
      <w:r>
        <w:t xml:space="preserve"> </w:t>
      </w:r>
      <w:r>
        <w:rPr>
          <w:i/>
        </w:rPr>
        <w:t xml:space="preserve">Future Shock</w:t>
      </w:r>
      <w:r>
        <w:t xml:space="preserve"> </w:t>
      </w:r>
      <w:r>
        <w:t xml:space="preserve">carried a single name on its cover, but it had two authors. Heidi Toffler was her husband’s researcher, editor, and intellectual partner on the book and on everything that followed, and Alvin spent his later years saying so plainly — the books, he said, belonged to her as much as to him. She was formally credited as co-author only from</w:t>
      </w:r>
      <w:r>
        <w:t xml:space="preserve"> </w:t>
      </w:r>
      <w:r>
        <w:rPr>
          <w:i/>
        </w:rPr>
        <w:t xml:space="preserve">War and Anti-War</w:t>
      </w:r>
      <w:r>
        <w:t xml:space="preserve"> </w:t>
      </w:r>
      <w:r>
        <w:t xml:space="preserve">in 1993 onward, and when she died in 2019 at eighty-nine, the obituaries called her the unheralded half of the team (Washington Post, 2019). This book will refer to</w:t>
      </w:r>
      <w:r>
        <w:t xml:space="preserve"> </w:t>
      </w:r>
      <w:r>
        <w:t xml:space="preserve">“</w:t>
      </w:r>
      <w:r>
        <w:t xml:space="preserve">Toffler</w:t>
      </w:r>
      <w:r>
        <w:t xml:space="preserve">”</w:t>
      </w:r>
      <w:r>
        <w:t xml:space="preserve"> </w:t>
      </w:r>
      <w:r>
        <w:t xml:space="preserve">throughout for simplicity, but the reader should hear the name as a plural. The physician who wrote this chart was a partnership.</w:t>
      </w:r>
    </w:p>
    <w:p>
      <w:pPr>
        <w:pStyle w:val="Heading2"/>
      </w:pPr>
      <w:bookmarkStart w:id="22" w:name="reopening-the-chart"/>
      <w:r>
        <w:t xml:space="preserve">Reopening the Chart</w:t>
      </w:r>
      <w:bookmarkEnd w:id="22"/>
    </w:p>
    <w:p>
      <w:pPr>
        <w:pStyle w:val="FirstParagraph"/>
      </w:pPr>
      <w:r>
        <w:t xml:space="preserve">What did the chart actually say? Stripped of its four hundred pages of illustration, the diagnosis had three parts. First, that the rate of change — technological, social, organizational — was accelerating measurably, and that this acceleration was the master fact of the era, more important than any single change it delivered. Second, that acceleration past a certain threshold produces a specific pathology in individuals and societies: overstimulation, decision fatigue, the breakdown of adaptive capacity, a population of</w:t>
      </w:r>
      <w:r>
        <w:t xml:space="preserve"> </w:t>
      </w:r>
      <w:r>
        <w:t xml:space="preserve">“</w:t>
      </w:r>
      <w:r>
        <w:t xml:space="preserve">the futures unprepared.</w:t>
      </w:r>
      <w:r>
        <w:t xml:space="preserve">”</w:t>
      </w:r>
      <w:r>
        <w:t xml:space="preserve"> </w:t>
      </w:r>
      <w:r>
        <w:t xml:space="preserve">Third, and often forgotten by people who remember the book as mere alarm, a set of prescriptions: Toffler devoted his final section to treatment, arguing that societies could learn to manage acceleration through anticipatory institutions, reformed education, and what he called the strategy of</w:t>
      </w:r>
      <w:r>
        <w:t xml:space="preserve"> </w:t>
      </w:r>
      <w:r>
        <w:t xml:space="preserve">“</w:t>
      </w:r>
      <w:r>
        <w:t xml:space="preserve">anticipatory democracy.</w:t>
      </w:r>
      <w:r>
        <w:t xml:space="preserve">”</w:t>
      </w:r>
      <w:r>
        <w:t xml:space="preserve"> </w:t>
      </w:r>
      <w:r>
        <w:t xml:space="preserve">He was not a pessimist. He was a physician who believed the disease was survivable if the patient took it seriously.</w:t>
      </w:r>
    </w:p>
    <w:p>
      <w:pPr>
        <w:pStyle w:val="BodyText"/>
      </w:pPr>
      <w:r>
        <w:t xml:space="preserve">Notice the shape of that summary: complaint, pathology, prescription. The medical framing is not something this book imposes on</w:t>
      </w:r>
      <w:r>
        <w:t xml:space="preserve"> </w:t>
      </w:r>
      <w:r>
        <w:rPr>
          <w:i/>
        </w:rPr>
        <w:t xml:space="preserve">Future Shock</w:t>
      </w:r>
      <w:r>
        <w:t xml:space="preserve"> </w:t>
      </w:r>
      <w:r>
        <w:t xml:space="preserve">from outside. It is Toffler’s own. He called future shock</w:t>
      </w:r>
      <w:r>
        <w:t xml:space="preserve"> </w:t>
      </w:r>
      <w:r>
        <w:t xml:space="preserve">“</w:t>
      </w:r>
      <w:r>
        <w:t xml:space="preserve">the disease of change,</w:t>
      </w:r>
      <w:r>
        <w:t xml:space="preserve">”</w:t>
      </w:r>
      <w:r>
        <w:t xml:space="preserve"> </w:t>
      </w:r>
      <w:r>
        <w:t xml:space="preserve">described its</w:t>
      </w:r>
      <w:r>
        <w:t xml:space="preserve"> </w:t>
      </w:r>
      <w:r>
        <w:t xml:space="preserve">“</w:t>
      </w:r>
      <w:r>
        <w:t xml:space="preserve">victims,</w:t>
      </w:r>
      <w:r>
        <w:t xml:space="preserve">”</w:t>
      </w:r>
      <w:r>
        <w:t xml:space="preserve"> </w:t>
      </w:r>
      <w:r>
        <w:t xml:space="preserve">consulted psychiatrists and physiologists for his evidence, and wrote explicitly in the language of diagnosis and adaptation. He examined the patient — industrial society, mid-twentieth century — recorded the presenting symptoms, named the condition, and proposed a course of treatment. Then, as happens with charts, the file went into the drawer. The book stayed famous while its claims went largely unaudited, settling into that comfortable afterlife where a work is endlessly cited and rarely tested.</w:t>
      </w:r>
    </w:p>
    <w:p>
      <w:pPr>
        <w:pStyle w:val="BodyText"/>
      </w:pPr>
      <w:r>
        <w:t xml:space="preserve">This book reopens the chart. Fifty-six years have passed since the intake examination — a clinically interesting interval, because it is long enough for every one of Toffler’s forecasts to have either happened or not. The patient is still on the table: the same industrializing-then-post-industrializing society, now carrying smartphones. And the follow-up specialist has instruments the original physician could only have imagined. Toffler worked with the indicators of 1970 — anecdote, expert interview, the thin statistical series of the day. We have five decades of Bureau of Labor Statistics microdata, Census records, Pew surveys, OECD panels, and peer-reviewed longitudinal studies. We can measure, with real numbers, nearly everything he could only palpate. The question this book asks is the question every case review asks: was the original diagnosis right? And if it was — or where it wasn’t — what should the prescription be now?</w:t>
      </w:r>
    </w:p>
    <w:p>
      <w:pPr>
        <w:pStyle w:val="BodyText"/>
      </w:pPr>
      <w:r>
        <w:t xml:space="preserve">A word about posture, because reviews of famous forecasters usually curdle into one of two failure modes. The first is hagiography: the prophet foresaw everything, behold. The second is the cheap autopsy: the futurist promised paper clothes and underwater cities, how quaint. Both are malpractice. The honest method is the one a good consulting physician uses on a predecessor’s chart — take the original diagnosis seriously enough to test it, steelman what the first doctor actually wrote rather than what legend says he wrote, and let the labs decide. Toffler will be wrong in these pages, sometimes badly. He will also be right in ways that are more unsettling now than they were in 1970. The reader is entitled to see which is which, claim by claim, with sources attached.</w:t>
      </w:r>
    </w:p>
    <w:p>
      <w:pPr>
        <w:pStyle w:val="Heading2"/>
      </w:pPr>
      <w:bookmarkStart w:id="23" w:name="the-method"/>
      <w:r>
        <w:t xml:space="preserve">The Method</w:t>
      </w:r>
      <w:bookmarkEnd w:id="23"/>
    </w:p>
    <w:p>
      <w:pPr>
        <w:pStyle w:val="FirstParagraph"/>
      </w:pPr>
      <w:r>
        <w:t xml:space="preserve">Here is how the review runs.</w:t>
      </w:r>
      <w:r>
        <w:t xml:space="preserve"> </w:t>
      </w:r>
      <w:r>
        <w:rPr>
          <w:i/>
        </w:rPr>
        <w:t xml:space="preserve">Future Shock</w:t>
      </w:r>
      <w:r>
        <w:t xml:space="preserve"> </w:t>
      </w:r>
      <w:r>
        <w:t xml:space="preserve">is organized in six parts, and this book shadows that structure: each of the first six chapters takes one part of Toffler’s book and subjects it to the same three-step workup. First, the claim — a fair reconstruction of what Toffler actually argued in that part, quoted sparingly and steelmanned, because a verdict on a strawman is worthless. Second, the tests — the modern evidence, which is the analytical core of every chapter: named datasets, real numbers, dates, every figure carrying its source inline. Third, the finding — where he was right, wrong, or half-right, and, more importantly,</w:t>
      </w:r>
      <w:r>
        <w:t xml:space="preserve"> </w:t>
      </w:r>
      <w:r>
        <w:rPr>
          <w:i/>
        </w:rPr>
        <w:t xml:space="preserve">why</w:t>
      </w:r>
      <w:r>
        <w:t xml:space="preserve">: what was visible from 1970 and what was not, because the pattern of a forecaster’s errors teaches more than the errors themselves. Each chapter closes with a verdict box, a structured scorecard that lines up every major claim against the data and rules it Confirmed, Refuted, or Partial. No vibes. The reader who disagrees with a verdict can follow the citation and re-run the test.</w:t>
      </w:r>
    </w:p>
    <w:p>
      <w:pPr>
        <w:pStyle w:val="BodyText"/>
      </w:pPr>
      <w:r>
        <w:t xml:space="preserve">The evidence rules deserve one sentence of emphasis, because this project began life as a data-science exercise and keeps that discipline. Every statistic in this book comes from a verifiable public source — government statistical agencies, established research institutions, peer-reviewed work — and anything that could not be verified was cut, however good the story it told. Toffler, writing in 1970, had an excuse for the occasional secondhand number. We do not.</w:t>
      </w:r>
    </w:p>
    <w:p>
      <w:pPr>
        <w:pStyle w:val="Heading2"/>
      </w:pPr>
      <w:bookmarkStart w:id="24" w:name="the-course-of-the-review"/>
      <w:r>
        <w:t xml:space="preserve">The Course of the Review</w:t>
      </w:r>
      <w:bookmarkEnd w:id="24"/>
    </w:p>
    <w:p>
      <w:pPr>
        <w:pStyle w:val="FirstParagraph"/>
      </w:pPr>
      <w:r>
        <w:t xml:space="preserve">The arc of the book follows the arc of the disease. Chapter 1,</w:t>
      </w:r>
      <w:r>
        <w:t xml:space="preserve"> </w:t>
      </w:r>
      <w:r>
        <w:t xml:space="preserve">“</w:t>
      </w:r>
      <w:r>
        <w:t xml:space="preserve">The Death of Permanence,</w:t>
      </w:r>
      <w:r>
        <w:t xml:space="preserve">”</w:t>
      </w:r>
      <w:r>
        <w:t xml:space="preserve"> </w:t>
      </w:r>
      <w:r>
        <w:t xml:space="preserve">tests Toffler’s foundational claim — that change itself is accelerating — against technology adoption curves and the collapsing lifespan of major corporations, and returns the book’s first split verdict: an acceleration real, extreme, and yet strangely confined. Chapter 2,</w:t>
      </w:r>
      <w:r>
        <w:t xml:space="preserve"> </w:t>
      </w:r>
      <w:r>
        <w:t xml:space="preserve">“</w:t>
      </w:r>
      <w:r>
        <w:t xml:space="preserve">Transience,</w:t>
      </w:r>
      <w:r>
        <w:t xml:space="preserve">”</w:t>
      </w:r>
      <w:r>
        <w:t xml:space="preserve"> </w:t>
      </w:r>
      <w:r>
        <w:t xml:space="preserve">examines his prediction of a society of serial occupants — throwaway jobs, throwaway addresses, throwaway things — against fifty years of BLS job-tenure data, the rise of gig work, and the genuinely surprising trajectory of American mobility. Chapter 3,</w:t>
      </w:r>
      <w:r>
        <w:t xml:space="preserve"> </w:t>
      </w:r>
      <w:r>
        <w:t xml:space="preserve">“</w:t>
      </w:r>
      <w:r>
        <w:t xml:space="preserve">Novelty,</w:t>
      </w:r>
      <w:r>
        <w:t xml:space="preserve">”</w:t>
      </w:r>
      <w:r>
        <w:t xml:space="preserve"> </w:t>
      </w:r>
      <w:r>
        <w:t xml:space="preserve">takes up his forecast that the economy would shift from selling goods to selling experiences, and that the family would fracture into a portfolio of new forms; the Census family-structure series has strong opinions about which half of that came true. Chapter 4,</w:t>
      </w:r>
      <w:r>
        <w:t xml:space="preserve"> </w:t>
      </w:r>
      <w:r>
        <w:t xml:space="preserve">“</w:t>
      </w:r>
      <w:r>
        <w:t xml:space="preserve">Diversity,</w:t>
      </w:r>
      <w:r>
        <w:t xml:space="preserve">”</w:t>
      </w:r>
      <w:r>
        <w:t xml:space="preserve"> </w:t>
      </w:r>
      <w:r>
        <w:t xml:space="preserve">tests the claim he called overchoice — that the real burden of the future would be too many options, not too few — against the proliferation of products, channels, and identities that Nielsen and Pew have spent decades counting. Chapter 5,</w:t>
      </w:r>
      <w:r>
        <w:t xml:space="preserve"> </w:t>
      </w:r>
      <w:r>
        <w:t xml:space="preserve">“</w:t>
      </w:r>
      <w:r>
        <w:t xml:space="preserve">The Limits of Adaptability,</w:t>
      </w:r>
      <w:r>
        <w:t xml:space="preserve">”</w:t>
      </w:r>
      <w:r>
        <w:t xml:space="preserve"> </w:t>
      </w:r>
      <w:r>
        <w:t xml:space="preserve">reaches the heart of the diagnosis: Toffler said all this change would make us sick, and the anxiety-prevalence data from NIMH and the WHO now exist to say whether it did. Chapter 6,</w:t>
      </w:r>
      <w:r>
        <w:t xml:space="preserve"> </w:t>
      </w:r>
      <w:r>
        <w:t xml:space="preserve">“</w:t>
      </w:r>
      <w:r>
        <w:t xml:space="preserve">Strategies for Survival,</w:t>
      </w:r>
      <w:r>
        <w:t xml:space="preserve">”</w:t>
      </w:r>
      <w:r>
        <w:t xml:space="preserve"> </w:t>
      </w:r>
      <w:r>
        <w:t xml:space="preserve">audits his prescriptions — the education reforms, the anticipatory institutions — and asks the uncomfortable question of whether any patient anywhere actually took the medicine.</w:t>
      </w:r>
    </w:p>
    <w:p>
      <w:pPr>
        <w:pStyle w:val="BodyText"/>
      </w:pPr>
      <w:r>
        <w:t xml:space="preserve">Then the review does something the original chart cannot: it examines a condition that developed after the first physician’s death. Chapter 7,</w:t>
      </w:r>
      <w:r>
        <w:t xml:space="preserve"> </w:t>
      </w:r>
      <w:r>
        <w:t xml:space="preserve">“</w:t>
      </w:r>
      <w:r>
        <w:t xml:space="preserve">The Fourth Wave,</w:t>
      </w:r>
      <w:r>
        <w:t xml:space="preserve">”</w:t>
      </w:r>
      <w:r>
        <w:t xml:space="preserve"> </w:t>
      </w:r>
      <w:r>
        <w:t xml:space="preserve">extends the audit into the AI era, and it carries the book’s central thesis, so it is worth stating here in the open. Toffler was, by the standards of his trade, astonishingly right about the direction of history. He saw the move from muscle to mind, from factory to information; his later trilogy named the knowledge economy before most economists would touch the phrase. But threaded through every page of that vision is an assumption so deep he never noticed himself making it — that the knowledge workers would be</w:t>
      </w:r>
      <w:r>
        <w:t xml:space="preserve"> </w:t>
      </w:r>
      <w:r>
        <w:rPr>
          <w:i/>
        </w:rPr>
        <w:t xml:space="preserve">us</w:t>
      </w:r>
      <w:r>
        <w:t xml:space="preserve">. Change would be a current flowing past human beings, who would suffer it, surf it, adapt to it or fail to; the knowing, deciding, symbol-processing mind at the center of the new economy was human by definition. Machine intelligence breaks that assumption. When the tool itself performs the cognition, future shock stops being a story about people struggling to keep up with their inventions and becomes a story about people negotiating their role beside them. Chapter 7 measures how far that has already gone — AI adoption rates from the Census Bureau’s own business surveys, the shrinking half-life of professional skills, the extraordinary concentration of the technology’s ownership — and argues that this is not the fourth verse of Toffler’s song but a new disease presenting in a patient already weakened by the first.</w:t>
      </w:r>
    </w:p>
    <w:p>
      <w:pPr>
        <w:pStyle w:val="BodyText"/>
      </w:pPr>
      <w:r>
        <w:t xml:space="preserve">The Conclusion,</w:t>
      </w:r>
      <w:r>
        <w:t xml:space="preserve"> </w:t>
      </w:r>
      <w:r>
        <w:t xml:space="preserve">“</w:t>
      </w:r>
      <w:r>
        <w:t xml:space="preserve">A New Prescription,</w:t>
      </w:r>
      <w:r>
        <w:t xml:space="preserve">”</w:t>
      </w:r>
      <w:r>
        <w:t xml:space="preserve"> </w:t>
      </w:r>
      <w:r>
        <w:t xml:space="preserve">does what the specialist owes the patient at the end of a workup. Toffler’s own prescriptions were written for his disease; some aged well, some were never filled, and none anticipated Chapter 7. Drawing on the verdicts of the full review, the closing chapter writes a new one — not a forecast, which is the genre that got the patient into this condition, but a treatment plan for living with permanent acceleration, updated for the moment when the accelerating thing has begun to think.</w:t>
      </w:r>
    </w:p>
    <w:p>
      <w:pPr>
        <w:pStyle w:val="BodyText"/>
      </w:pPr>
      <w:r>
        <w:t xml:space="preserve">One housekeeping note before the examination begins. This book quotes</w:t>
      </w:r>
      <w:r>
        <w:t xml:space="preserve"> </w:t>
      </w:r>
      <w:r>
        <w:rPr>
          <w:i/>
        </w:rPr>
        <w:t xml:space="preserve">Future Shock</w:t>
      </w:r>
      <w:r>
        <w:t xml:space="preserve"> </w:t>
      </w:r>
      <w:r>
        <w:t xml:space="preserve">where Toffler’s own words are the evidence, but it does not assume the reader has read him, and it does not require it. Everything needed to follow each verdict is in the chapter that delivers it. Readers who want the full 1970 text will find it worth their time — it remains a vivid, generous, occasionally wild piece of writing, better than its reputation as a period artifact — but the chart excerpts here are complete enough for the review.</w:t>
      </w:r>
    </w:p>
    <w:p>
      <w:pPr>
        <w:pStyle w:val="BodyText"/>
      </w:pPr>
      <w:r>
        <w:t xml:space="preserve">So: the patient presents. Male-and-female authorship, technological civilization, age approximately two centuries at intake, chief complaint of disorientation secondary to accelerating change. The original physician examined the patient in 1970, published his findings to an audience of millions, and died in 2016 with the follow-up still unscheduled. The first thing a reviewing specialist checks is the foundational claim on which every other line of the chart depends — in this case, that change really was accelerating, measurably, and would continue to. If that claim fails, the file closes early. It does not fail. What the instruments actually show, though, is stranger than either the physician or his critics expected, and it sets the pattern for everything that follows. We begin, as Toffler began, with the death of permanence.</w:t>
      </w:r>
    </w:p>
    <w:p>
      <w:pPr>
        <w:pStyle w:val="Heading2"/>
      </w:pPr>
      <w:bookmarkStart w:id="25" w:name="sources"/>
      <w:r>
        <w:t xml:space="preserve">Sources</w:t>
      </w:r>
      <w:bookmarkEnd w:id="25"/>
    </w:p>
    <w:p>
      <w:pPr>
        <w:numPr>
          <w:ilvl w:val="0"/>
          <w:numId w:val="1001"/>
        </w:numPr>
        <w:pStyle w:val="Compact"/>
      </w:pPr>
      <w:r>
        <w:t xml:space="preserve">https://www.npr.org/sections/thetwo-way/2016/06/30/484161975/future-shock-author-alvin-toffler-dies-at-87 — NPR (June 2016), Toffler obituary: died June 27, 2016, at 87;</w:t>
      </w:r>
      <w:r>
        <w:t xml:space="preserve"> </w:t>
      </w:r>
      <w:r>
        <w:rPr>
          <w:i/>
        </w:rPr>
        <w:t xml:space="preserve">Future Shock</w:t>
      </w:r>
      <w:r>
        <w:t xml:space="preserve"> </w:t>
      </w:r>
      <w:r>
        <w:t xml:space="preserve">sales in the millions; career details.</w:t>
      </w:r>
    </w:p>
    <w:p>
      <w:pPr>
        <w:numPr>
          <w:ilvl w:val="0"/>
          <w:numId w:val="1001"/>
        </w:numPr>
        <w:pStyle w:val="Compact"/>
      </w:pPr>
      <w:r>
        <w:t xml:space="preserve">https://www.thewrap.com/alvin-toffler-future-shock-author-dies-at-87/ — TheWrap (2016):</w:t>
      </w:r>
      <w:r>
        <w:t xml:space="preserve"> </w:t>
      </w:r>
      <w:r>
        <w:rPr>
          <w:i/>
        </w:rPr>
        <w:t xml:space="preserve">Future Shock</w:t>
      </w:r>
      <w:r>
        <w:t xml:space="preserve"> </w:t>
      </w:r>
      <w:r>
        <w:t xml:space="preserve">sold over six million copies, among the best-selling books of the 1970s.</w:t>
      </w:r>
    </w:p>
    <w:p>
      <w:pPr>
        <w:numPr>
          <w:ilvl w:val="0"/>
          <w:numId w:val="1001"/>
        </w:numPr>
        <w:pStyle w:val="Compact"/>
      </w:pPr>
      <w:r>
        <w:t xml:space="preserve">https://www.legacy.com/news/alvin-toffler-1928-2016 — Legacy.com (2016): more than five million copies sold in the U.S.; the Tofflers’ five years of assembly-line work; Fortune hired Toffler as labor columnist.</w:t>
      </w:r>
    </w:p>
    <w:p>
      <w:pPr>
        <w:numPr>
          <w:ilvl w:val="0"/>
          <w:numId w:val="1001"/>
        </w:numPr>
        <w:pStyle w:val="Compact"/>
      </w:pPr>
      <w:r>
        <w:t xml:space="preserve">https://en.wikipedia.org/wiki/Alvin_Toffler — Biographical details: born Brooklyn 1928; millwright and welder in Midwestern factories; Heidi a union shop steward in an aluminum foundry; return to New York in 1959 for the Fortune labor column.</w:t>
      </w:r>
    </w:p>
    <w:p>
      <w:pPr>
        <w:numPr>
          <w:ilvl w:val="0"/>
          <w:numId w:val="1001"/>
        </w:numPr>
        <w:pStyle w:val="Compact"/>
      </w:pPr>
      <w:r>
        <w:t xml:space="preserve">https://en.wikipedia.org/wiki/Future_Shock — Publication details: Random House, 1970; the book grew from Toffler’s Summer 1965</w:t>
      </w:r>
      <w:r>
        <w:t xml:space="preserve"> </w:t>
      </w:r>
      <w:r>
        <w:rPr>
          <w:i/>
        </w:rPr>
        <w:t xml:space="preserve">Horizon</w:t>
      </w:r>
      <w:r>
        <w:t xml:space="preserve"> </w:t>
      </w:r>
      <w:r>
        <w:t xml:space="preserve">essay</w:t>
      </w:r>
      <w:r>
        <w:t xml:space="preserve"> </w:t>
      </w:r>
      <w:r>
        <w:t xml:space="preserve">“</w:t>
      </w:r>
      <w:r>
        <w:t xml:space="preserve">The Future as a Way of Life,</w:t>
      </w:r>
      <w:r>
        <w:t xml:space="preserve">”</w:t>
      </w:r>
      <w:r>
        <w:t xml:space="preserve"> </w:t>
      </w:r>
      <w:r>
        <w:t xml:space="preserve">where the term</w:t>
      </w:r>
      <w:r>
        <w:t xml:space="preserve"> </w:t>
      </w:r>
      <w:r>
        <w:t xml:space="preserve">“</w:t>
      </w:r>
      <w:r>
        <w:t xml:space="preserve">future shock</w:t>
      </w:r>
      <w:r>
        <w:t xml:space="preserve">”</w:t>
      </w:r>
      <w:r>
        <w:t xml:space="preserve"> </w:t>
      </w:r>
      <w:r>
        <w:t xml:space="preserve">was coined; definition</w:t>
      </w:r>
      <w:r>
        <w:t xml:space="preserve"> </w:t>
      </w:r>
      <w:r>
        <w:t xml:space="preserve">“</w:t>
      </w:r>
      <w:r>
        <w:t xml:space="preserve">too much change in too short a period of time.</w:t>
      </w:r>
      <w:r>
        <w:t xml:space="preserve">”</w:t>
      </w:r>
    </w:p>
    <w:p>
      <w:pPr>
        <w:numPr>
          <w:ilvl w:val="0"/>
          <w:numId w:val="1001"/>
        </w:numPr>
        <w:pStyle w:val="Compact"/>
      </w:pPr>
      <w:r>
        <w:t xml:space="preserve">https://www.iftf.org/insights/the-future-as-a-way-of-life-alvin-tofflers-unfinished-business/ — Institute for the Future: the 1965</w:t>
      </w:r>
      <w:r>
        <w:t xml:space="preserve"> </w:t>
      </w:r>
      <w:r>
        <w:rPr>
          <w:i/>
        </w:rPr>
        <w:t xml:space="preserve">Horizon</w:t>
      </w:r>
      <w:r>
        <w:t xml:space="preserve"> </w:t>
      </w:r>
      <w:r>
        <w:t xml:space="preserve">article as the origin of the concept, by analogy to culture shock.</w:t>
      </w:r>
    </w:p>
    <w:p>
      <w:pPr>
        <w:numPr>
          <w:ilvl w:val="0"/>
          <w:numId w:val="1001"/>
        </w:numPr>
        <w:pStyle w:val="Compact"/>
      </w:pPr>
      <w:r>
        <w:t xml:space="preserve">https://www.washingtonpost.com/local/obituaries/heidi-toffler-unheralded-half-of-a-futurist-writing-team-dies-at-89/2019/02/13/63458c50-2fa6-11e9-8ad3-9a5b113ecd3c_story.html — Washington Post (Feb 2019), Heidi Toffler obituary: died at 89; uncredited researcher-editor-collaborator on</w:t>
      </w:r>
      <w:r>
        <w:t xml:space="preserve"> </w:t>
      </w:r>
      <w:r>
        <w:rPr>
          <w:i/>
        </w:rPr>
        <w:t xml:space="preserve">Future Shock</w:t>
      </w:r>
      <w:r>
        <w:t xml:space="preserve">; Alvin later said the books belonged to her as much as him; formally co-credited from</w:t>
      </w:r>
      <w:r>
        <w:t xml:space="preserve"> </w:t>
      </w:r>
      <w:r>
        <w:rPr>
          <w:i/>
        </w:rPr>
        <w:t xml:space="preserve">War and Anti-War</w:t>
      </w:r>
      <w:r>
        <w:t xml:space="preserve"> </w:t>
      </w:r>
      <w:r>
        <w:t xml:space="preserve">(1993) onward.</w:t>
      </w:r>
    </w:p>
    <w:p>
      <w:pPr>
        <w:numPr>
          <w:ilvl w:val="0"/>
          <w:numId w:val="1001"/>
        </w:numPr>
        <w:pStyle w:val="Compact"/>
      </w:pPr>
      <w:r>
        <w:t xml:space="preserve">https://www.openculture.com/2014/12/future-shock.html — Open Culture (2014): the 1972 documentary</w:t>
      </w:r>
      <w:r>
        <w:t xml:space="preserve"> </w:t>
      </w:r>
      <w:r>
        <w:rPr>
          <w:i/>
        </w:rPr>
        <w:t xml:space="preserve">Future Shock</w:t>
      </w:r>
      <w:r>
        <w:t xml:space="preserve">, directed by Alex Grasshoff and narrated by Orson Welles; Welles’s airport people-mover monologue.</w:t>
      </w:r>
    </w:p>
    <w:p>
      <w:pPr>
        <w:numPr>
          <w:ilvl w:val="0"/>
          <w:numId w:val="1001"/>
        </w:numPr>
        <w:pStyle w:val="Compact"/>
      </w:pPr>
      <w:r>
        <w:t xml:space="preserve">https://en.wikipedia.org/wiki/Future_Shock_(film) — Confirms the 1972 short documentary based on the book, narrated by Orson Welles.</w:t>
      </w:r>
    </w:p>
    <w:p>
      <w:pPr>
        <w:pStyle w:val="Heading1"/>
      </w:pPr>
      <w:bookmarkStart w:id="26" w:name="chapter-1-the-death-of-permanence"/>
      <w:r>
        <w:t xml:space="preserve">Chapter 1 — The Death of Permanence</w:t>
      </w:r>
      <w:bookmarkEnd w:id="26"/>
    </w:p>
    <w:p>
      <w:pPr>
        <w:pStyle w:val="Heading2"/>
      </w:pPr>
      <w:bookmarkStart w:id="27" w:name="the-claim"/>
      <w:r>
        <w:t xml:space="preserve">The Claim</w:t>
      </w:r>
      <w:bookmarkEnd w:id="27"/>
    </w:p>
    <w:p>
      <w:pPr>
        <w:pStyle w:val="FirstParagraph"/>
      </w:pPr>
      <w:r>
        <w:t xml:space="preserve">Every case file begins with the presenting complaint, and Toffler stated his in the plainest terms a physician could ask for. Something new had entered human experience, he argued in 1970, and it was not any particular machine or movement or war. It was the rate of change itself.</w:t>
      </w:r>
      <w:r>
        <w:t xml:space="preserve"> </w:t>
      </w:r>
      <w:r>
        <w:t xml:space="preserve">“</w:t>
      </w:r>
      <w:r>
        <w:t xml:space="preserve">Future shock,</w:t>
      </w:r>
      <w:r>
        <w:t xml:space="preserve">”</w:t>
      </w:r>
      <w:r>
        <w:t xml:space="preserve"> </w:t>
      </w:r>
      <w:r>
        <w:t xml:space="preserve">he wrote, is</w:t>
      </w:r>
      <w:r>
        <w:t xml:space="preserve"> </w:t>
      </w:r>
      <w:r>
        <w:t xml:space="preserve">“</w:t>
      </w:r>
      <w:r>
        <w:t xml:space="preserve">the shattering stress and disorientation that we induce in individuals by subjecting them to too much change in too short a time.</w:t>
      </w:r>
      <w:r>
        <w:t xml:space="preserve">”</w:t>
      </w:r>
      <w:r>
        <w:t xml:space="preserve"> </w:t>
      </w:r>
      <w:r>
        <w:t xml:space="preserve">Part One of the book, which he titled</w:t>
      </w:r>
      <w:r>
        <w:t xml:space="preserve"> </w:t>
      </w:r>
      <w:r>
        <w:t xml:space="preserve">“</w:t>
      </w:r>
      <w:r>
        <w:t xml:space="preserve">The Death of Permanence,</w:t>
      </w:r>
      <w:r>
        <w:t xml:space="preserve">”</w:t>
      </w:r>
      <w:r>
        <w:t xml:space="preserve"> </w:t>
      </w:r>
      <w:r>
        <w:t xml:space="preserve">laid out the diagnosis in two movements: first, that change was accelerating measurably and exponentially; second, that the acceleration had crossed a threshold beyond which permanence itself — in objects, places, organizations, and relationships — could no longer be the default condition of life.</w:t>
      </w:r>
    </w:p>
    <w:p>
      <w:pPr>
        <w:pStyle w:val="BodyText"/>
      </w:pPr>
      <w:r>
        <w:t xml:space="preserve">His most famous piece of evidence was arithmetic rather than data. Divide the last fifty thousand years of human existence into lifetimes of about sixty-two years each, and you get roughly eight hundred lifetimes. Six hundred and fifty of them were spent in caves. Only during the last six did masses of people ever see a printed word; only during the last two had anyone used an electric motor. The overwhelming majority of the material goods surrounding a reader in 1970 had been developed within the present lifetime — the 800th. The point of the device was not precision but shape: plotted on any axis you liked, the curve of human change bent sharply upward, and the reader was living on the vertical part.</w:t>
      </w:r>
    </w:p>
    <w:p>
      <w:pPr>
        <w:pStyle w:val="BodyText"/>
      </w:pPr>
      <w:r>
        <w:t xml:space="preserve">Toffler supported the shape with the indicators available to him: economic output doubling within a single generation for the first time in history, the top speed of human travel climbing from the camel caravan to the rocket in an accelerating sequence, the shrinking lag between scientific discovery and commercial application. From these he drew the claim that gives Part One its title. When the interval between innovations becomes shorter than the life of the things they replace, permanence dies. Buildings, products, corporate structures, even neighborhoods become provisional. And because human beings evolved for a slower world, he argued, a society that kept accelerating without preparing its members was inducing a mass adaptive illness — a disease of change.</w:t>
      </w:r>
    </w:p>
    <w:p>
      <w:pPr>
        <w:pStyle w:val="BodyText"/>
      </w:pPr>
      <w:r>
        <w:t xml:space="preserve">It is worth steelmanning what he was and was not claiming. Toffler was not predicting specific technologies; he was famously casual about which gadgets would matter. His claim was structural: that the rate of change is an independent variable with its own consequences, distinct from the direction of change, and that this variable was rising and would keep rising. That is a testable proposition. Fifty-six years later, we can reopen the chart, order the tests he could not, and see whether the acceleration he palpated in 1970 shows up in the instruments. We have three good ones: how fast new technologies now spread through the population, how long large institutions now survive, and how much new invention the system now produces — checked against the one vital sign that complicates the whole picture.</w:t>
      </w:r>
    </w:p>
    <w:p>
      <w:pPr>
        <w:pStyle w:val="Heading2"/>
      </w:pPr>
      <w:bookmarkStart w:id="28" w:name="the-tests"/>
      <w:r>
        <w:t xml:space="preserve">The Tests</w:t>
      </w:r>
      <w:bookmarkEnd w:id="28"/>
    </w:p>
    <w:p>
      <w:pPr>
        <w:pStyle w:val="FirstParagraph"/>
      </w:pPr>
      <w:r>
        <w:t xml:space="preserve">The first test is diffusion velocity: how long a new technology takes to move from introduction to majority use. This is the cleanest available proxy for the pace of change as ordinary people actually experience it, and the historical series runs long enough to compare Toffler’s world with ours. The landline telephone, commercialized in the late nineteenth century, took decades to reach 50 percent of American households — a process that began before 1900 and ran deep into the twentieth century (Felton, New York Times data, via Harvard Business Review, 2013). The cellphone, by contrast, achieved the same 50 percent household penetration in five years or less after its 1990s takeoff (HBR, 2013). Internet use among American adults crossed the majority line at 52 percent in 2000, roughly a decade after the web opened to the public (Pew Research Center, 2015). The smartphone, introduced in its modern form in 2007, was owned by 56 percent of American adults by June 2013 — the first Pew survey in which smartphone owners constituted a majority, six years after launch (Pew, 2013). An analysis in MIT Technology Review found that smartphones moved from 10 percent to 40 percent adoption in about two and a half years, a climb through the steep middle of the S-curve faster than any prior consumer technology except television (Technology Review, 2012).</w:t>
      </w:r>
    </w:p>
    <w:p>
      <w:pPr>
        <w:pStyle w:val="BodyText"/>
      </w:pPr>
      <w:r>
        <w:t xml:space="preserve">Then the curve did something Toffler would have appreciated: it kept bending. ChatGPT, released in late November 2022, reached an estimated 100 million monthly active users by January 2023 — two months. UBS analysts, whose estimate was based on Similarweb traffic data, wrote that in twenty years of covering the internet sector they could not recall a faster consumer ramp; TikTok had needed about nine months to reach 100 million users, Instagram about two and a half years (Reuters, 2023). The first nationally representative survey of generative AI use found that by August 2024 — less than two years after ChatGPT’s release — 39.4 percent of Americans aged 18 to 64 had used generative AI, and 28 percent of employed respondents were using it at work. The same study ran the historical comparison directly: generative AI’s adoption rate two years in was nearly double that of the personal computer three years after the IBM PC launched, and faster than the internet at the equivalent point (Bick, Blandin, and Deming, NBER Working Paper 32966, 2024). Compress the whole series into one line: telephone, generations; television and cellphone, years; generative AI, months. The sequence is exactly the accelerating cascade Part One described, extended two full cycles past anything Toffler lived to see.</w:t>
      </w:r>
    </w:p>
    <w:p>
      <w:pPr>
        <w:pStyle w:val="BodyText"/>
      </w:pPr>
      <w:r>
        <w:t xml:space="preserve">The second test examines institutional permanence, and here the key dataset is Innosight’s corporate longevity series, which tracks the average tenure of companies on the S&amp;P 500 index. In 1965 — essentially the world in which Toffler was writing — the average company could expect about 33 years on the index. By 1990 that had narrowed to 20 years, and Innosight’s 2016 study forecast a fall to 14 years by 2026, a churn rate implying that roughly half the S&amp;P 500 would be replaced within a decade (Innosight, 2016). The firm’s 2021 update held the trajectory: the 30-to-35-year tenures of the late 1970s were forecast to shrink to 15 to 20 years during the 2020s (Innosight, 2021). The forecast has essentially landed on schedule — average tenure now stands at about 15 years (Apollo Academy, 2026). Read that as a clinician reads serial imaging. The blue-chip corporation of 1965 was a landmark: an institution an employee could join at twenty-five and predecease. The blue-chip corporation of 2026 has a median remaining life on the index shorter than a home mortgage. Toffler’s phrase for Part One was not</w:t>
      </w:r>
      <w:r>
        <w:t xml:space="preserve"> </w:t>
      </w:r>
      <w:r>
        <w:t xml:space="preserve">“</w:t>
      </w:r>
      <w:r>
        <w:t xml:space="preserve">the acceleration of gadgets</w:t>
      </w:r>
      <w:r>
        <w:t xml:space="preserve">”</w:t>
      </w:r>
      <w:r>
        <w:t xml:space="preserve">; it was the death of permanence, and the S&amp;P series is that phrase rendered as a downward-sloping line. The institutions themselves have become transient.</w:t>
      </w:r>
    </w:p>
    <w:p>
      <w:pPr>
        <w:pStyle w:val="BodyText"/>
      </w:pPr>
      <w:r>
        <w:t xml:space="preserve">The third test measures the production of novelty at the source. In 1970, the year Future Shock appeared, the U.S. Patent and Trademark Office received 103,175 utility patent applications and granted 64,429 utility patents. In 2020 it received 597,175 applications and granted 352,049 — a roughly 5.5-fold increase in granted inventions over the fifty years, against a population that grew by about 60 percent (USPTO, Patent Statistics Summary Table, 2021). Whatever one thinks about patent quality, the system that generates and absorbs technical novelty is running at several times its 1970 throughput.</w:t>
      </w:r>
    </w:p>
    <w:p>
      <w:pPr>
        <w:pStyle w:val="BodyText"/>
      </w:pPr>
      <w:r>
        <w:t xml:space="preserve">So far the chart reads as full confirmation. But a competent workup includes the test the patient did not ask for, and there is one vital sign that runs hard the other way: productivity, the broadest measure of how fast the economy as a whole is actually transforming. The economist Robert Gordon has assembled the definitive series. American labor productivity grew at an average of 2.82 percent per year from 1920 to 1970 — the closing stretch of what Gordon calls the</w:t>
      </w:r>
      <w:r>
        <w:t xml:space="preserve"> </w:t>
      </w:r>
      <w:r>
        <w:t xml:space="preserve">“</w:t>
      </w:r>
      <w:r>
        <w:t xml:space="preserve">special century</w:t>
      </w:r>
      <w:r>
        <w:t xml:space="preserve">”</w:t>
      </w:r>
      <w:r>
        <w:t xml:space="preserve"> </w:t>
      </w:r>
      <w:r>
        <w:t xml:space="preserve">— and then slowed to 1.62 percent per year from 1970 to 2014. Total factor productivity growth since 2004 has been slower still, below even the rate of the 1970–96 slowdown (Gordon, The Rise and Fall of American Growth, 2016; Nordhaus, New York Review of Books, 2016). In other words, by the widest-angle measure economists possess, the pace of transformation peaked around the very moment Future Shock went to press. The kitchen of 1970 differed from the kitchen of 1920 far more than the kitchen of 2020 differs from the kitchen of 1970. A passenger jet crosses the Atlantic no faster today than it did the year the book was published. The acceleration Toffler extrapolated forward was, in the physical economy, already decelerating under his feet.</w:t>
      </w:r>
    </w:p>
    <w:p>
      <w:pPr>
        <w:pStyle w:val="Heading2"/>
      </w:pPr>
      <w:bookmarkStart w:id="29" w:name="the-finding"/>
      <w:r>
        <w:t xml:space="preserve">The Finding</w:t>
      </w:r>
      <w:bookmarkEnd w:id="29"/>
    </w:p>
    <w:p>
      <w:pPr>
        <w:pStyle w:val="FirstParagraph"/>
      </w:pPr>
      <w:r>
        <w:t xml:space="preserve">The tests return a split result, and the split is more instructive than a clean verdict would have been. Where information moves — communication, computation, media, software, and now machine intelligence — Toffler’s acceleration is not merely confirmed but understated. No claim in Part One is as extreme as the observed fact of a technology reaching 100 million people in eight weeks. The death of permanence is likewise confirmed where institutions live and die: the halving of corporate lifespans between his generation and ours is precisely the transience he diagnosed, measured in a dataset that did not exist when he wrote. If future shock is a disease of change, the exposure he identified is real and has intensified.</w:t>
      </w:r>
    </w:p>
    <w:p>
      <w:pPr>
        <w:pStyle w:val="BodyText"/>
      </w:pPr>
      <w:r>
        <w:t xml:space="preserve">But Toffler generalized the acceleration to civilization entire, and there the data refuse him. He was writing at the crest of the special century, and he did what careful observers at the crest of any curve tend to do: he extrapolated. He could not see that the productivity slowdown would begin around 1973, three years after publication, or that the transforming energies of the next half-century would pour almost entirely into the world of bits while the world of atoms — transport, construction, energy, the physical furniture of daily life — settled into something close to stasis. The result is an era he did not anticipate: a society that experiences relentless informational and institutional churn atop a physical economy changing more slowly than his parents’. Call it asymmetric acceleration. It may in fact be the more disorienting condition — the sensation of vertiginous speed without the compensating payoff of broadly rising material transformation — but it is not the uniform thrust Part One described.</w:t>
      </w:r>
    </w:p>
    <w:p>
      <w:pPr>
        <w:pStyle w:val="BodyText"/>
      </w:pPr>
      <w:r>
        <w:t xml:space="preserve">The revised diagnosis, then: Toffler correctly identified the syndrome and correctly located its mechanism in the rate of change, but he mistook a sectoral acceleration for a general one. The physician read the chart right and the etiology half-right. What he got most durably correct is the thing hardest to test and easiest to feel — that permanence, as an organizing expectation of ordinary life, was ending. On that, the S&amp;P series, the adoption curves, and the patent ledger all concur. Whether human beings have proven as unprepared for it as he feared is a question about the patient rather than the pathogen, and we hold it for Chapter 5, where the psychological data get their own workup.</w:t>
      </w:r>
    </w:p>
    <w:p>
      <w:pPr>
        <w:pStyle w:val="Heading2"/>
      </w:pPr>
      <w:bookmarkStart w:id="30" w:name="verdict"/>
      <w:r>
        <w:t xml:space="preserve">Verdict</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claim (Part One)</w:t>
            </w:r>
          </w:p>
        </w:tc>
        <w:tc>
          <w:tcPr>
            <w:tcBorders>
              <w:bottom w:val="single"/>
            </w:tcBorders>
            <w:vAlign w:val="bottom"/>
          </w:tcPr>
          <w:p>
            <w:pPr>
              <w:pStyle w:val="Compact"/>
              <w:jc w:val="left"/>
            </w:pPr>
            <w:r>
              <w:t xml:space="preserve">The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Change is accelerating: each new technology diffuses faster than the last</w:t>
            </w:r>
          </w:p>
        </w:tc>
        <w:tc>
          <w:p>
            <w:pPr>
              <w:pStyle w:val="Compact"/>
              <w:jc w:val="left"/>
            </w:pPr>
            <w:r>
              <w:t xml:space="preserve">Telephone took decades to reach 50% of U.S. households; cellphone ~5 years; smartphone majority in 6 years (56% by 2013); ChatGPT reached ~100M users in 2 months; generative AI reached 39.4% of adults 18–64 in under 2 years — nearly double the PC’s pace</w:t>
            </w:r>
          </w:p>
        </w:tc>
        <w:tc>
          <w:p>
            <w:pPr>
              <w:pStyle w:val="Compact"/>
              <w:jc w:val="left"/>
            </w:pPr>
            <w:r>
              <w:t xml:space="preserve">Confirmed</w:t>
            </w:r>
          </w:p>
        </w:tc>
        <w:tc>
          <w:p>
            <w:pPr>
              <w:pStyle w:val="Compact"/>
              <w:jc w:val="left"/>
            </w:pPr>
            <w:r>
              <w:t xml:space="preserve">Pew (2013, 2015); Reuters/UBS (2023); Bick, Blandin &amp; Deming, NBER WP 32966 (2024)</w:t>
            </w:r>
          </w:p>
        </w:tc>
      </w:tr>
      <w:tr>
        <w:tc>
          <w:p>
            <w:pPr>
              <w:pStyle w:val="Compact"/>
              <w:jc w:val="left"/>
            </w:pPr>
            <w:r>
              <w:t xml:space="preserve">The death of permanence: institutions themselves are becoming transient</w:t>
            </w:r>
          </w:p>
        </w:tc>
        <w:tc>
          <w:p>
            <w:pPr>
              <w:pStyle w:val="Compact"/>
              <w:jc w:val="left"/>
            </w:pPr>
            <w:r>
              <w:t xml:space="preserve">Average S&amp;P 500 company tenure fell from 33 years (1965) to 20 (1990) to ~15 today; ~half the index forecast to turn over within a decade</w:t>
            </w:r>
          </w:p>
        </w:tc>
        <w:tc>
          <w:p>
            <w:pPr>
              <w:pStyle w:val="Compact"/>
              <w:jc w:val="left"/>
            </w:pPr>
            <w:r>
              <w:t xml:space="preserve">Confirmed</w:t>
            </w:r>
          </w:p>
        </w:tc>
        <w:tc>
          <w:p>
            <w:pPr>
              <w:pStyle w:val="Compact"/>
              <w:jc w:val="left"/>
            </w:pPr>
            <w:r>
              <w:t xml:space="preserve">Innosight (2016, 2021); Apollo Academy (2026)</w:t>
            </w:r>
          </w:p>
        </w:tc>
      </w:tr>
      <w:tr>
        <w:tc>
          <w:p>
            <w:pPr>
              <w:pStyle w:val="Compact"/>
              <w:jc w:val="left"/>
            </w:pPr>
            <w:r>
              <w:t xml:space="preserve">The production of novelty is rising steeply</w:t>
            </w:r>
          </w:p>
        </w:tc>
        <w:tc>
          <w:p>
            <w:pPr>
              <w:pStyle w:val="Compact"/>
              <w:jc w:val="left"/>
            </w:pPr>
            <w:r>
              <w:t xml:space="preserve">U.S. utility patent grants rose from 64,429 (1970) to 352,049 (2020), a ~5.5x increase; applications from 103,175 to 597,175</w:t>
            </w:r>
          </w:p>
        </w:tc>
        <w:tc>
          <w:p>
            <w:pPr>
              <w:pStyle w:val="Compact"/>
              <w:jc w:val="left"/>
            </w:pPr>
            <w:r>
              <w:t xml:space="preserve">Confirmed</w:t>
            </w:r>
          </w:p>
        </w:tc>
        <w:tc>
          <w:p>
            <w:pPr>
              <w:pStyle w:val="Compact"/>
              <w:jc w:val="left"/>
            </w:pPr>
            <w:r>
              <w:t xml:space="preserve">USPTO Patent Statistics Summary Table (2021)</w:t>
            </w:r>
          </w:p>
        </w:tc>
      </w:tr>
      <w:tr>
        <w:tc>
          <w:p>
            <w:pPr>
              <w:pStyle w:val="Compact"/>
              <w:jc w:val="left"/>
            </w:pPr>
            <w:r>
              <w:t xml:space="preserve">The acceleration is general — society-wide and economy-wide</w:t>
            </w:r>
          </w:p>
        </w:tc>
        <w:tc>
          <w:p>
            <w:pPr>
              <w:pStyle w:val="Compact"/>
              <w:jc w:val="left"/>
            </w:pPr>
            <w:r>
              <w:t xml:space="preserve">U.S. labor productivity growth fell from 2.82%/yr (1920–1970) to 1.62%/yr (1970–2014); TFP growth since 2004 slower than during the 1970–96 slowdown; physical-economy change decelerated after 1970</w:t>
            </w:r>
          </w:p>
        </w:tc>
        <w:tc>
          <w:p>
            <w:pPr>
              <w:pStyle w:val="Compact"/>
              <w:jc w:val="left"/>
            </w:pPr>
            <w:r>
              <w:t xml:space="preserve">Refuted</w:t>
            </w:r>
          </w:p>
        </w:tc>
        <w:tc>
          <w:p>
            <w:pPr>
              <w:pStyle w:val="Compact"/>
              <w:jc w:val="left"/>
            </w:pPr>
            <w:r>
              <w:t xml:space="preserve">Gordon (2016), via Nordhaus, NYRB (2016)</w:t>
            </w:r>
          </w:p>
        </w:tc>
      </w:tr>
      <w:tr>
        <w:tc>
          <w:p>
            <w:pPr>
              <w:pStyle w:val="Compact"/>
              <w:jc w:val="left"/>
            </w:pPr>
            <w:r>
              <w:t xml:space="preserve">Society is psychologically unprepared for the pace</w:t>
            </w:r>
          </w:p>
        </w:tc>
        <w:tc>
          <w:p>
            <w:pPr>
              <w:pStyle w:val="Compact"/>
              <w:jc w:val="left"/>
            </w:pPr>
            <w:r>
              <w:t xml:space="preserve">Deferred — anxiety-prevalence and adaptation data examined in Chapter 5</w:t>
            </w:r>
          </w:p>
        </w:tc>
        <w:tc>
          <w:p>
            <w:pPr>
              <w:pStyle w:val="Compact"/>
              <w:jc w:val="left"/>
            </w:pPr>
            <w:r>
              <w:t xml:space="preserve">Partial (pending)</w:t>
            </w:r>
          </w:p>
        </w:tc>
        <w:tc>
          <w:p>
            <w:pPr>
              <w:pStyle w:val="Compact"/>
              <w:jc w:val="left"/>
            </w:pPr>
            <w:r>
              <w:t xml:space="preserve">NIMH/WHO (Ch. 5)</w:t>
            </w:r>
          </w:p>
        </w:tc>
      </w:tr>
    </w:tbl>
    <w:p>
      <w:pPr>
        <w:pStyle w:val="BodyText"/>
      </w:pPr>
      <w:r>
        <w:t xml:space="preserve">The death of permanence Toffler diagnosed at the level of civilizations shows up first, and most measurably, at the level of a single working life. If the corporation now outlives its spot on the index by barely fifteen years, what happens to the person inside it — the employee, the renter, the contractor whose relationship to job, home, and employer was built for the thirty-three-year world? Part Two of Future Shock predicted the answer: a society of serial occupants, where jobs, addresses, and possessions are held briefly and released. The next chapter runs those tests — job tenure in the BLS series, the rise of gig work, the strange stalling of American mobility — and finds that the patient’s symptoms are not quite the ones the physician predicted.</w:t>
      </w:r>
    </w:p>
    <w:p>
      <w:pPr>
        <w:pStyle w:val="Heading2"/>
      </w:pPr>
      <w:bookmarkStart w:id="31" w:name="sources-1"/>
      <w:r>
        <w:t xml:space="preserve">Sources</w:t>
      </w:r>
      <w:bookmarkEnd w:id="31"/>
    </w:p>
    <w:p>
      <w:pPr>
        <w:numPr>
          <w:ilvl w:val="0"/>
          <w:numId w:val="1002"/>
        </w:numPr>
        <w:pStyle w:val="Compact"/>
      </w:pPr>
      <w:r>
        <w:t xml:space="preserve">https://hbr.org/2013/11/the-pace-of-technology-adoption-is-speeding-up — Harvard Business Review (McGrath, 2013), presenting Nicholas Felton’s New York Times chart: telephone took decades to reach 50% of U.S. households; cellphones reached the same penetration in five years or less from 1990.</w:t>
      </w:r>
    </w:p>
    <w:p>
      <w:pPr>
        <w:numPr>
          <w:ilvl w:val="0"/>
          <w:numId w:val="1002"/>
        </w:numPr>
        <w:pStyle w:val="Compact"/>
      </w:pPr>
      <w:r>
        <w:t xml:space="preserve">https://www.pewresearch.org/internet/2015/06/26/americans-internet-access-2000-2015/ — Pew Research Center (2015): 52% of U.S. adults used the internet in 2000, rising to 84% by 2015; supports internet crossing majority adoption in 2000.</w:t>
      </w:r>
    </w:p>
    <w:p>
      <w:pPr>
        <w:numPr>
          <w:ilvl w:val="0"/>
          <w:numId w:val="1002"/>
        </w:numPr>
        <w:pStyle w:val="Compact"/>
      </w:pPr>
      <w:r>
        <w:t xml:space="preserve">https://www.pewresearch.org/internet/2013/06/05/smartphone-ownership-2013/ — Pew Research Center (June 2013): 56% of American adults owned a smartphone, the first majority recorded; supports six-year path from iPhone launch to majority.</w:t>
      </w:r>
    </w:p>
    <w:p>
      <w:pPr>
        <w:numPr>
          <w:ilvl w:val="0"/>
          <w:numId w:val="1002"/>
        </w:numPr>
        <w:pStyle w:val="Compact"/>
      </w:pPr>
      <w:r>
        <w:t xml:space="preserve">https://www.technologyreview.com/s/427787/are-smart-phones-spreading-faster-than-any-technology-in-human-history/ — MIT Technology Review (DeGusta, 2012): smartphones moved from 10% to 40% adoption in about 2.5 years, faster than any prior technology except television.</w:t>
      </w:r>
    </w:p>
    <w:p>
      <w:pPr>
        <w:numPr>
          <w:ilvl w:val="0"/>
          <w:numId w:val="1002"/>
        </w:numPr>
        <w:pStyle w:val="Compact"/>
      </w:pPr>
      <w:r>
        <w:t xml:space="preserve">https://finance.yahoo.com/news/chatgpt-sets-record-fastest-growing-190911828.html — Reuters via Yahoo Finance (Feb 2023), reporting the UBS/Similarweb analysis: ChatGPT reached an estimated 100 million monthly active users two months after launch; TikTok took ~9 months and Instagram ~2.5 years to reach 100 million.</w:t>
      </w:r>
    </w:p>
    <w:p>
      <w:pPr>
        <w:numPr>
          <w:ilvl w:val="0"/>
          <w:numId w:val="1002"/>
        </w:numPr>
        <w:pStyle w:val="Compact"/>
      </w:pPr>
      <w:r>
        <w:t xml:space="preserve">https://www.nber.org/papers/w32966 — Bick, Blandin &amp; Deming,</w:t>
      </w:r>
      <w:r>
        <w:t xml:space="preserve"> </w:t>
      </w:r>
      <w:r>
        <w:t xml:space="preserve">“</w:t>
      </w:r>
      <w:r>
        <w:t xml:space="preserve">The Rapid Adoption of Generative AI,</w:t>
      </w:r>
      <w:r>
        <w:t xml:space="preserve">”</w:t>
      </w:r>
      <w:r>
        <w:t xml:space="preserve"> </w:t>
      </w:r>
      <w:r>
        <w:t xml:space="preserve">NBER Working Paper 32966 (2024): 39.4% of U.S. adults 18–64 used generative AI by August 2024; 28% of employed respondents used it at work; adoption faster than the PC or the internet at equivalent points.</w:t>
      </w:r>
    </w:p>
    <w:p>
      <w:pPr>
        <w:numPr>
          <w:ilvl w:val="0"/>
          <w:numId w:val="1002"/>
        </w:numPr>
        <w:pStyle w:val="Compact"/>
      </w:pPr>
      <w:r>
        <w:t xml:space="preserve">https://www.innosight.com/wp-content/uploads/2016/08/Corporate-Longevity-2016-Final.pdf — Innosight,</w:t>
      </w:r>
      <w:r>
        <w:t xml:space="preserve"> </w:t>
      </w:r>
      <w:r>
        <w:t xml:space="preserve">“</w:t>
      </w:r>
      <w:r>
        <w:t xml:space="preserve">Corporate Longevity: Turbulence Ahead for Large Organizations</w:t>
      </w:r>
      <w:r>
        <w:t xml:space="preserve">”</w:t>
      </w:r>
      <w:r>
        <w:t xml:space="preserve"> </w:t>
      </w:r>
      <w:r>
        <w:t xml:space="preserve">(2016): average S&amp;P 500 tenure 33 years in 1965, 20 years in 1990, forecast 14 years by 2026; about half the index forecast to be replaced within a decade.</w:t>
      </w:r>
    </w:p>
    <w:p>
      <w:pPr>
        <w:numPr>
          <w:ilvl w:val="0"/>
          <w:numId w:val="1002"/>
        </w:numPr>
        <w:pStyle w:val="Compact"/>
      </w:pPr>
      <w:r>
        <w:t xml:space="preserve">https://www.innosight.com/insight/creative-destruction/ — Innosight,</w:t>
      </w:r>
      <w:r>
        <w:t xml:space="preserve"> </w:t>
      </w:r>
      <w:r>
        <w:t xml:space="preserve">“</w:t>
      </w:r>
      <w:r>
        <w:t xml:space="preserve">2021 Corporate Longevity Forecast</w:t>
      </w:r>
      <w:r>
        <w:t xml:space="preserve">”</w:t>
      </w:r>
      <w:r>
        <w:t xml:space="preserve"> </w:t>
      </w:r>
      <w:r>
        <w:t xml:space="preserve">(2021): 30–35-year average tenures of the late 1970s forecast to shrink to 15–20 years during the 2020s.</w:t>
      </w:r>
    </w:p>
    <w:p>
      <w:pPr>
        <w:numPr>
          <w:ilvl w:val="0"/>
          <w:numId w:val="1002"/>
        </w:numPr>
        <w:pStyle w:val="Compact"/>
      </w:pPr>
      <w:r>
        <w:t xml:space="preserve">https://www.apolloacademy.com/average-tenure-of-companies-in-the-sp-500-index-15-years/ — Apollo Academy (2026): average tenure of S&amp;P 500 companies now approximately 15 years; confirms the Innosight trajectory landed.</w:t>
      </w:r>
    </w:p>
    <w:p>
      <w:pPr>
        <w:numPr>
          <w:ilvl w:val="0"/>
          <w:numId w:val="1002"/>
        </w:numPr>
        <w:pStyle w:val="Compact"/>
      </w:pPr>
      <w:r>
        <w:t xml:space="preserve">https://www.uspto.gov/web/offices/ac/ido/oeip/taf/us_stat.htm — USPTO, U.S. Patent Statistics Summary Table, Calendar Years 1963–2020 (May 2021 update): utility patent grants 64,429 in 1970 vs. 352,049 in 2020; utility applications 103,175 vs. 597,175.</w:t>
      </w:r>
    </w:p>
    <w:p>
      <w:pPr>
        <w:numPr>
          <w:ilvl w:val="0"/>
          <w:numId w:val="1002"/>
        </w:numPr>
        <w:pStyle w:val="Compact"/>
      </w:pPr>
      <w:r>
        <w:t xml:space="preserve">https://www.nybooks.com/articles/2016/08/18/why-economic-growth-will-fall/ — Nordhaus, New York Review of Books (2016), reviewing Gordon, The Rise and Fall of American Growth: labor productivity grew 2.82%/yr in 1920–1970 vs. 1.62%/yr in 1970–2014; TFP growth since 2004 below even the 1970–96 slowdown rate; the</w:t>
      </w:r>
      <w:r>
        <w:t xml:space="preserve"> </w:t>
      </w:r>
      <w:r>
        <w:t xml:space="preserve">“</w:t>
      </w:r>
      <w:r>
        <w:t xml:space="preserve">special century</w:t>
      </w:r>
      <w:r>
        <w:t xml:space="preserve">”</w:t>
      </w:r>
      <w:r>
        <w:t xml:space="preserve"> </w:t>
      </w:r>
      <w:r>
        <w:t xml:space="preserve">ended around 1970.</w:t>
      </w:r>
    </w:p>
    <w:p>
      <w:pPr>
        <w:pStyle w:val="Heading1"/>
      </w:pPr>
      <w:bookmarkStart w:id="32" w:name="chapter-2-transience"/>
      <w:r>
        <w:t xml:space="preserve">Chapter 2 — Transience</w:t>
      </w:r>
      <w:bookmarkEnd w:id="32"/>
    </w:p>
    <w:p>
      <w:pPr>
        <w:pStyle w:val="Heading2"/>
      </w:pPr>
      <w:bookmarkStart w:id="33" w:name="the-claim-1"/>
      <w:r>
        <w:t xml:space="preserve">The Claim</w:t>
      </w:r>
      <w:bookmarkEnd w:id="33"/>
    </w:p>
    <w:p>
      <w:pPr>
        <w:pStyle w:val="FirstParagraph"/>
      </w:pPr>
      <w:r>
        <w:t xml:space="preserve">If Part One of</w:t>
      </w:r>
      <w:r>
        <w:t xml:space="preserve"> </w:t>
      </w:r>
      <w:r>
        <w:rPr>
          <w:i/>
        </w:rPr>
        <w:t xml:space="preserve">Future Shock</w:t>
      </w:r>
      <w:r>
        <w:t xml:space="preserve"> </w:t>
      </w:r>
      <w:r>
        <w:t xml:space="preserve">diagnosed the disease at the level of civilizations, Part Two brought the stethoscope down to the level of a single life. Toffler called the section</w:t>
      </w:r>
      <w:r>
        <w:t xml:space="preserve"> </w:t>
      </w:r>
      <w:r>
        <w:t xml:space="preserve">“</w:t>
      </w:r>
      <w:r>
        <w:t xml:space="preserve">Transience,</w:t>
      </w:r>
      <w:r>
        <w:t xml:space="preserve">”</w:t>
      </w:r>
      <w:r>
        <w:t xml:space="preserve"> </w:t>
      </w:r>
      <w:r>
        <w:t xml:space="preserve">and he defined the term with care: transience is the rate at which our relationships turn over — not just our relationships with people, but with everything a life is made of. He sorted those relationships into five kinds: things, places, people, organizations, and information. His claim was that in every one of the five, duration was collapsing. The average situation in a modern life — the possession owned, the address occupied, the job held, the friendship maintained — was becoming shorter, and the shortening was accelerating.</w:t>
      </w:r>
    </w:p>
    <w:p>
      <w:pPr>
        <w:pStyle w:val="BodyText"/>
      </w:pPr>
      <w:r>
        <w:t xml:space="preserve">The argument ran category by category. Things first: Toffler announced the arrival of the</w:t>
      </w:r>
      <w:r>
        <w:t xml:space="preserve"> </w:t>
      </w:r>
      <w:r>
        <w:t xml:space="preserve">“</w:t>
      </w:r>
      <w:r>
        <w:t xml:space="preserve">throw-away society,</w:t>
      </w:r>
      <w:r>
        <w:t xml:space="preserve">”</w:t>
      </w:r>
      <w:r>
        <w:t xml:space="preserve"> </w:t>
      </w:r>
      <w:r>
        <w:t xml:space="preserve">a culture in which products were designed from the outset for brief use and disposal. He collected its artifacts with an anthropologist’s relish — paper wedding dresses, disposable lighters, Barbie dolls traded in for upgraded models — and argued they signaled a deep shift in what he called man-thing relationships. Where a person once bought a watch or a chair expecting to keep it for decades, perhaps to pass it down, the new consumer bought for the interval and discarded without grief. Alongside disposal he placed rental: the growing preference for temporary access over permanent possession, from leased cars to rented formal wear, which he read as the same psychology by other means.</w:t>
      </w:r>
    </w:p>
    <w:p>
      <w:pPr>
        <w:pStyle w:val="BodyText"/>
      </w:pPr>
      <w:r>
        <w:t xml:space="preserve">Places came next, in a chapter titled</w:t>
      </w:r>
      <w:r>
        <w:t xml:space="preserve"> </w:t>
      </w:r>
      <w:r>
        <w:t xml:space="preserve">“</w:t>
      </w:r>
      <w:r>
        <w:t xml:space="preserve">The New Nomads.</w:t>
      </w:r>
      <w:r>
        <w:t xml:space="preserve">”</w:t>
      </w:r>
      <w:r>
        <w:t xml:space="preserve"> </w:t>
      </w:r>
      <w:r>
        <w:t xml:space="preserve">Americans, Toffler reported, were already the most mobile people in history — the average American would move around fourteen times in a lifetime — and he argued the trend pointed steeply upward. Rising affluence, corporate transfers, jet travel, and the loosening grip of hometown and neighborhood would produce a society of serial residents, at home everywhere and rooted nowhere. Never in history, he wrote, had distance meant less.</w:t>
      </w:r>
    </w:p>
    <w:p>
      <w:pPr>
        <w:pStyle w:val="BodyText"/>
      </w:pPr>
      <w:r>
        <w:t xml:space="preserve">Then people and organizations. The lifetime career was dying, to be replaced by what he called the</w:t>
      </w:r>
      <w:r>
        <w:t xml:space="preserve"> </w:t>
      </w:r>
      <w:r>
        <w:t xml:space="preserve">“</w:t>
      </w:r>
      <w:r>
        <w:t xml:space="preserve">modular man</w:t>
      </w:r>
      <w:r>
        <w:t xml:space="preserve">”</w:t>
      </w:r>
      <w:r>
        <w:t xml:space="preserve">: a worker who would hold a long series of jobs, plugging into an organization for the duration of a task and unplugging when it ended. Organizations themselves would shed their permanent pyramids for temporary, project-based teams — he coined</w:t>
      </w:r>
      <w:r>
        <w:t xml:space="preserve"> </w:t>
      </w:r>
      <w:r>
        <w:t xml:space="preserve">“</w:t>
      </w:r>
      <w:r>
        <w:t xml:space="preserve">ad-hocracy</w:t>
      </w:r>
      <w:r>
        <w:t xml:space="preserve">”</w:t>
      </w:r>
      <w:r>
        <w:t xml:space="preserve"> </w:t>
      </w:r>
      <w:r>
        <w:t xml:space="preserve">for the form. And because jobs and addresses were the scaffolding of human connection, relationships would become modular too: more contacts, shorter durations, friendships engineered for easy disassembly.</w:t>
      </w:r>
    </w:p>
    <w:p>
      <w:pPr>
        <w:pStyle w:val="BodyText"/>
      </w:pPr>
      <w:r>
        <w:t xml:space="preserve">The steelman matters here. Toffler was not moralizing about consumerism, and he was not predicting mere restlessness. His claim was structural and, in principle, measurable: that the average duration of the situations composing an ordinary life was falling across all five categories at once, and that this compression of duration — not any single technology — was the mechanism delivering future shock to the individual. Five categories, five testable predictions. Fifty-six years on, we can run the labs on four of them — things, places, jobs, and organizations — and hold the fifth, human relationships, for the next chapter, where the family data belong. The results are the most divided of any part of the book: one prediction confirmed beyond his imagining, one split down the middle, and one refuted so cleanly that the refutation has become a finding in its own right.</w:t>
      </w:r>
    </w:p>
    <w:p>
      <w:pPr>
        <w:pStyle w:val="Heading2"/>
      </w:pPr>
      <w:bookmarkStart w:id="34" w:name="the-tests-1"/>
      <w:r>
        <w:t xml:space="preserve">The Tests</w:t>
      </w:r>
      <w:bookmarkEnd w:id="34"/>
    </w:p>
    <w:p>
      <w:pPr>
        <w:pStyle w:val="FirstParagraph"/>
      </w:pPr>
      <w:r>
        <w:t xml:space="preserve">Begin with things, because there Toffler’s record is strongest. The throwaway society is no longer a provocation; it is a tonnage statistic maintained by the United Nations. The Global E-waste Monitor, compiled by the UN’s training institute UNITAR and the International Telecommunication Union, reports that the world generated a record 62 million tonnes of electronic waste in 2022 — discarded phones, televisions, laptops, appliances — an 82 percent increase over 2010, with a projection of 82 million tonnes by 2030 (Global E-waste Monitor, 2024). Only 22.3 percent of that mass was documented as properly collected and recycled, and the report’s headline finding was a race Toffler would have recognized instantly: e-waste generation is rising five times faster than documented recycling. The category of goods barely existed when he wrote; it now constitutes the fastest-growing waste stream on earth, and its defining trait is precisely the one he named — products whose economic design anticipates their disposal.</w:t>
      </w:r>
    </w:p>
    <w:p>
      <w:pPr>
        <w:pStyle w:val="BodyText"/>
      </w:pPr>
      <w:r>
        <w:t xml:space="preserve">The second half of his things-claim, access over ownership, has done even better. In 1970 a music collection was shelving; the record was the archetypal owned object. In 2024, streaming accounted for 84 percent of United States recorded music revenue for the third consecutive year, paid streaming subscriptions crossed 100 million for the first time, and physical formats — the entire universe of owned music — held 11 percent of the market (RIAA Year-End Report, 2025). The American listener no longer owns music at all in the median case; she rents access to essentially all of it, month to month, on terms that end the moment payment stops. The same logic has reached the driveway: roughly a quarter of new vehicles in the United States are now leased rather than purchased — 25.4 percent in the second quarter of 2024, up from 21.1 percent a year earlier (Experian, State of the Automotive Finance Market, 2024). Toffler treated the rental revolution as a minor exhibit. It turned out to be the business model of the age: the subscription, the lease, the license — temporary access as the default relationship between people and the things they use.</w:t>
      </w:r>
    </w:p>
    <w:p>
      <w:pPr>
        <w:pStyle w:val="BodyText"/>
      </w:pPr>
      <w:r>
        <w:t xml:space="preserve">Now the jobs, where the story turns. Toffler’s modular man implies a specific, falsifiable trajectory: job tenure should have fallen substantially and steadily since 1970. The Bureau of Labor Statistics has measured tenure through the Current Population Survey for over four decades, and the headline number seems at first to cooperate. Median tenure with current employer was 3.9 years in January 2024, down from 4.1 in 2022 and the lowest reading since 2002 (BLS, 2024). But the headline is a composition effect, and the long series refuses the script. The Employee Benefit Research Institute, which has tracked the BLS data from 1983 through 2024, states the finding plainly: the median tenure of wage and salary workers 25 and older has stayed at approximately five years for the entire forty-year span — it was 4.8 years in January 2024 (EBRI, 2025; BLS, 2024). The flat line conceals two moving parts. Mid-career men did lose the old deal: median tenure for men aged 45 to 54 fell from 12.8 years in 1983 to 9.5 in 2000 (BLS, 2000) and stood at 7.5 in 2024 (BLS, 2024) — the long, real erosion of the single-company career. But women’s tenure rose over the same decades as their careers lengthened and continuity increased, and the two trends offset almost exactly. The American workforce did not become modular. It became differently permanent.</w:t>
      </w:r>
    </w:p>
    <w:p>
      <w:pPr>
        <w:pStyle w:val="BodyText"/>
      </w:pPr>
      <w:r>
        <w:t xml:space="preserve">The gig economy, widely offered as the modular man’s vindication, shrinks on measurement the same way. The BLS Contingent Worker Supplement — the closest thing to a definitive count — found in July 2023 that 4.3 percent of workers held contingent jobs, meaning work not expected to last, up from 3.8 percent at the prior measurement in May 2017 (BLS, 2024). Independent contractors, the largest alternative arrangement, were 7.4 percent of total employment — 11.9 million people — and 80.3 percent of them said they preferred that arrangement to a traditional job, against 8.3 percent who wanted one (BLS, 2024). App-mediated gig work is real and visible, but as a share of how Americans earn their main living, contingent arrangements remain a single-digit phenomenon that has barely moved in a generation. Something like nine in ten American workers still hold a conventional job with an employer — the arrangement Toffler placed on the endangered list. Where he scores better is the organizational chart itself: the project team, the contractor ecosystem, and the standing consulting layer are recognizably his ad-hocracy. The container changed shape. The people inside it stayed longer than he predicted.</w:t>
      </w:r>
    </w:p>
    <w:p>
      <w:pPr>
        <w:pStyle w:val="BodyText"/>
      </w:pPr>
      <w:r>
        <w:t xml:space="preserve">And then places — the cleanest test in the chapter, because the Census Bureau has asked Americans the same question since 1948: do you live at a different address than you did one year ago? When Toffler was drafting</w:t>
      </w:r>
      <w:r>
        <w:t xml:space="preserve"> </w:t>
      </w:r>
      <w:r>
        <w:rPr>
          <w:i/>
        </w:rPr>
        <w:t xml:space="preserve">Future Shock</w:t>
      </w:r>
      <w:r>
        <w:t xml:space="preserve">, the answer captured a genuinely nomadic nation. In the year from March 1970 to March 1971, 18.7 percent of Americans aged one and over had moved; the average annual rate for 1968–71 was 19.1 percent, little changed from the 20.2 percent recorded in 1948 (Census Bureau, Current Population Reports P-20 No. 235, 1972). Roughly one American in five changed address every year, and had done so for a generation. Toffler looked at that plateau and extrapolated an ascent.</w:t>
      </w:r>
    </w:p>
    <w:p>
      <w:pPr>
        <w:pStyle w:val="BodyText"/>
      </w:pPr>
      <w:r>
        <w:t xml:space="preserve">The line went the other way, and it did not wobble. The mover rate slid through the 1980s and 1990s, hit what was then a record low of 11.2 percent in 2016 (Census Bureau, 2017), and kept falling: 8.4 percent in 2021 and a statistically indistinguishable 8.7 percent in 2022, the lowest rates in the entire seventy-plus-year series (Census Bureau, CPS ASEC, 2023). American residential mobility has fallen by more than half since the year</w:t>
      </w:r>
      <w:r>
        <w:t xml:space="preserve"> </w:t>
      </w:r>
      <w:r>
        <w:rPr>
          <w:i/>
        </w:rPr>
        <w:t xml:space="preserve">Future Shock</w:t>
      </w:r>
      <w:r>
        <w:t xml:space="preserve"> </w:t>
      </w:r>
      <w:r>
        <w:t xml:space="preserve">was published. The decline is not an artifact of one kind of move: within-county moves, the most common type, fell to record lows, and the drop shows up among renters and owners alike — renters moved at a 35.2 percent annual rate in 1988 and 22.9 percent by 2016, while owners fell from 9.5 to 5.0 percent (Census Bureau, 2017). Of the five relationships Toffler examined, this is the one where he had the richest data, the longest trend, and the most confidence. The new nomads never came. The patient presented instead with a symptom no one in 1970 thought to predict: Americans stopped moving.</w:t>
      </w:r>
    </w:p>
    <w:p>
      <w:pPr>
        <w:pStyle w:val="Heading2"/>
      </w:pPr>
      <w:bookmarkStart w:id="35" w:name="the-finding-1"/>
      <w:r>
        <w:t xml:space="preserve">The Finding</w:t>
      </w:r>
      <w:bookmarkEnd w:id="35"/>
    </w:p>
    <w:p>
      <w:pPr>
        <w:pStyle w:val="FirstParagraph"/>
      </w:pPr>
      <w:r>
        <w:t xml:space="preserve">The second set of labs returns a stranger picture than the first, and the strangeness is the lesson. Toffler’s transience thesis assumed the five relationships would shorten together, because a single force — acceleration — was compressing them all. The data show the categories decoupling. Man-thing relationships shortened even more than he predicted: the throwaway society and the access economy are confirmed in tonnage and in revenue share. Man-organization relationships restructured roughly as he sketched. But man-job duration held flat for forty years, and man-place duration — the anchor claim of the section — more than doubled.</w:t>
      </w:r>
    </w:p>
    <w:p>
      <w:pPr>
        <w:pStyle w:val="BodyText"/>
      </w:pPr>
      <w:r>
        <w:t xml:space="preserve">Why did he miss the reversal? Partly because he mistook a plateau for a takeoff: the 19-to-20-percent mover rates of his era were the crest of the postwar boom in mobility, sustained by young households, cheap housing, and corporate transfer culture, and he extrapolated the crest. What he could not see was everything that would raise the cost of moving and lower its payoff — an aging population, the dual-earner household that must find two jobs in a new city rather than one, the divergence of housing costs that walled off the most productive regions, and eventually the telecommunications he himself heralded, which let the job move to the worker instead. The deeper miss is more interesting. Transience did not disappear; it migrated. The churn Toffler expected in driveways and zip codes moved into the immaterial world — the subscription that replaces the possession, the feed that replaces the newspaper, the stream that replaces the shelf. Americans in 2026 hold their homes and their employers longer than their parents did, while cycling through information, media, and digital goods at a velocity no one in 1970 could have modeled. The compression of duration was real. It simply abandoned the world of atoms — the same world where Chapter 1 found the acceleration stalling — and concentrated where the acceleration went: into bits.</w:t>
      </w:r>
    </w:p>
    <w:p>
      <w:pPr>
        <w:pStyle w:val="BodyText"/>
      </w:pPr>
      <w:r>
        <w:t xml:space="preserve">The revised diagnosis: Toffler identified a real syndrome and correctly predicted its course in the material culture of consumption, but he generalized it to the whole anatomy of a life, and the anatomy declined to cooperate. The physician predicted a restless patient. The chart shows one who threw away more, owned less, kept the job about as long — and quietly stopped leaving home.</w:t>
      </w:r>
    </w:p>
    <w:p>
      <w:pPr>
        <w:pStyle w:val="Heading2"/>
      </w:pPr>
      <w:bookmarkStart w:id="36" w:name="verdict-1"/>
      <w:r>
        <w:t xml:space="preserve">Verdict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claim (Part Two)</w:t>
            </w:r>
          </w:p>
        </w:tc>
        <w:tc>
          <w:tcPr>
            <w:tcBorders>
              <w:bottom w:val="single"/>
            </w:tcBorders>
            <w:vAlign w:val="bottom"/>
          </w:tcPr>
          <w:p>
            <w:pPr>
              <w:pStyle w:val="Compact"/>
              <w:jc w:val="left"/>
            </w:pPr>
            <w:r>
              <w:t xml:space="preserve">The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The throw-away society: products designed for brief use and disposal</w:t>
            </w:r>
          </w:p>
        </w:tc>
        <w:tc>
          <w:p>
            <w:pPr>
              <w:pStyle w:val="Compact"/>
              <w:jc w:val="left"/>
            </w:pPr>
            <w:r>
              <w:t xml:space="preserve">Global e-waste hit a record 62 million tonnes in 2022, up 82% from 2010, projected to reach 82 million tonnes by 2030; only 22.3% documented as collected and recycled; generation rising 5x faster than recycling</w:t>
            </w:r>
          </w:p>
        </w:tc>
        <w:tc>
          <w:p>
            <w:pPr>
              <w:pStyle w:val="Compact"/>
              <w:jc w:val="left"/>
            </w:pPr>
            <w:r>
              <w:t xml:space="preserve">Confirmed</w:t>
            </w:r>
          </w:p>
        </w:tc>
        <w:tc>
          <w:p>
            <w:pPr>
              <w:pStyle w:val="Compact"/>
              <w:jc w:val="left"/>
            </w:pPr>
            <w:r>
              <w:t xml:space="preserve">UN Global E-waste Monitor 2024 (UNITAR/ITU)</w:t>
            </w:r>
          </w:p>
        </w:tc>
      </w:tr>
      <w:tr>
        <w:tc>
          <w:p>
            <w:pPr>
              <w:pStyle w:val="Compact"/>
              <w:jc w:val="left"/>
            </w:pPr>
            <w:r>
              <w:t xml:space="preserve">Rental and temporary access replace ownership</w:t>
            </w:r>
          </w:p>
        </w:tc>
        <w:tc>
          <w:p>
            <w:pPr>
              <w:pStyle w:val="Compact"/>
              <w:jc w:val="left"/>
            </w:pPr>
            <w:r>
              <w:t xml:space="preserve">Streaming = 84% of U.S. recorded music revenue for the third straight year; paid subscriptions passed 100 million in 2024; physical formats 11%; 25.4% of new vehicles leased in Q2 2024</w:t>
            </w:r>
          </w:p>
        </w:tc>
        <w:tc>
          <w:p>
            <w:pPr>
              <w:pStyle w:val="Compact"/>
              <w:jc w:val="left"/>
            </w:pPr>
            <w:r>
              <w:t xml:space="preserve">Confirmed</w:t>
            </w:r>
          </w:p>
        </w:tc>
        <w:tc>
          <w:p>
            <w:pPr>
              <w:pStyle w:val="Compact"/>
              <w:jc w:val="left"/>
            </w:pPr>
            <w:r>
              <w:t xml:space="preserve">RIAA Year-End Report (2025); Experian (2024)</w:t>
            </w:r>
          </w:p>
        </w:tc>
      </w:tr>
      <w:tr>
        <w:tc>
          <w:p>
            <w:pPr>
              <w:pStyle w:val="Compact"/>
              <w:jc w:val="left"/>
            </w:pPr>
            <w:r>
              <w:t xml:space="preserve">Serial jobs replace the lifetime career (</w:t>
            </w:r>
            <w:r>
              <w:t xml:space="preserve">“</w:t>
            </w:r>
            <w:r>
              <w:t xml:space="preserve">modular man</w:t>
            </w:r>
            <w:r>
              <w:t xml:space="preserve">”</w:t>
            </w:r>
            <w:r>
              <w:t xml:space="preserve">)</w:t>
            </w:r>
          </w:p>
        </w:tc>
        <w:tc>
          <w:p>
            <w:pPr>
              <w:pStyle w:val="Compact"/>
              <w:jc w:val="left"/>
            </w:pPr>
            <w:r>
              <w:t xml:space="preserve">Median tenure for workers 25+ held at ~5 years from 1983 to 2024 (4.8 years in Jan 2024); men 45–54 fell from 12.8 years (1983) to 7.5 (2024), offset by rising tenure among women</w:t>
            </w:r>
          </w:p>
        </w:tc>
        <w:tc>
          <w:p>
            <w:pPr>
              <w:pStyle w:val="Compact"/>
              <w:jc w:val="left"/>
            </w:pPr>
            <w:r>
              <w:t xml:space="preserve">Partial</w:t>
            </w:r>
          </w:p>
        </w:tc>
        <w:tc>
          <w:p>
            <w:pPr>
              <w:pStyle w:val="Compact"/>
              <w:jc w:val="left"/>
            </w:pPr>
            <w:r>
              <w:t xml:space="preserve">BLS Employee Tenure (2024); EBRI (2025)</w:t>
            </w:r>
          </w:p>
        </w:tc>
      </w:tr>
      <w:tr>
        <w:tc>
          <w:p>
            <w:pPr>
              <w:pStyle w:val="Compact"/>
              <w:jc w:val="left"/>
            </w:pPr>
            <w:r>
              <w:t xml:space="preserve">Temporary, contingent work becomes the norm</w:t>
            </w:r>
          </w:p>
        </w:tc>
        <w:tc>
          <w:p>
            <w:pPr>
              <w:pStyle w:val="Compact"/>
              <w:jc w:val="left"/>
            </w:pPr>
            <w:r>
              <w:t xml:space="preserve">Contingent workers were 4.3% of employment in July 2023 (vs 3.8% in 2017); independent contractors 7.4%; 80.3% of contractors prefer the arrangement</w:t>
            </w:r>
          </w:p>
        </w:tc>
        <w:tc>
          <w:p>
            <w:pPr>
              <w:pStyle w:val="Compact"/>
              <w:jc w:val="left"/>
            </w:pPr>
            <w:r>
              <w:t xml:space="preserve">Refuted</w:t>
            </w:r>
          </w:p>
        </w:tc>
        <w:tc>
          <w:p>
            <w:pPr>
              <w:pStyle w:val="Compact"/>
              <w:jc w:val="left"/>
            </w:pPr>
            <w:r>
              <w:t xml:space="preserve">BLS Contingent and Alternative Employment Arrangements (2024)</w:t>
            </w:r>
          </w:p>
        </w:tc>
      </w:tr>
      <w:tr>
        <w:tc>
          <w:p>
            <w:pPr>
              <w:pStyle w:val="Compact"/>
              <w:jc w:val="left"/>
            </w:pPr>
            <w:r>
              <w:t xml:space="preserve">The new nomads: residential mobility high and rising</w:t>
            </w:r>
          </w:p>
        </w:tc>
        <w:tc>
          <w:p>
            <w:pPr>
              <w:pStyle w:val="Compact"/>
              <w:jc w:val="left"/>
            </w:pPr>
            <w:r>
              <w:t xml:space="preserve">Annual mover rate: 20.2% (1948), 18.7% (1970–71), 11.2% (2016), 8.4%/8.7% (2021/2022) — record lows for the entire series; mobility fell by more than half after publication</w:t>
            </w:r>
          </w:p>
        </w:tc>
        <w:tc>
          <w:p>
            <w:pPr>
              <w:pStyle w:val="Compact"/>
              <w:jc w:val="left"/>
            </w:pPr>
            <w:r>
              <w:t xml:space="preserve">Refuted</w:t>
            </w:r>
          </w:p>
        </w:tc>
        <w:tc>
          <w:p>
            <w:pPr>
              <w:pStyle w:val="Compact"/>
              <w:jc w:val="left"/>
            </w:pPr>
            <w:r>
              <w:t xml:space="preserve">Census Bureau, CPS ASEC historical tables; P-20 No. 235 (1972)</w:t>
            </w:r>
          </w:p>
        </w:tc>
      </w:tr>
      <w:tr>
        <w:tc>
          <w:p>
            <w:pPr>
              <w:pStyle w:val="Compact"/>
              <w:jc w:val="left"/>
            </w:pPr>
            <w:r>
              <w:t xml:space="preserve">Human relationships become fractured and temporary</w:t>
            </w:r>
          </w:p>
        </w:tc>
        <w:tc>
          <w:p>
            <w:pPr>
              <w:pStyle w:val="Compact"/>
              <w:jc w:val="left"/>
            </w:pPr>
            <w:r>
              <w:t xml:space="preserve">Deferred — family structure and relationship data examined in Chapter 3</w:t>
            </w:r>
          </w:p>
        </w:tc>
        <w:tc>
          <w:p>
            <w:pPr>
              <w:pStyle w:val="Compact"/>
              <w:jc w:val="left"/>
            </w:pPr>
            <w:r>
              <w:t xml:space="preserve">Partial (pending)</w:t>
            </w:r>
          </w:p>
        </w:tc>
        <w:tc>
          <w:p>
            <w:pPr>
              <w:pStyle w:val="Compact"/>
              <w:jc w:val="left"/>
            </w:pPr>
            <w:r>
              <w:t xml:space="preserve">Census (Ch. 3)</w:t>
            </w:r>
          </w:p>
        </w:tc>
      </w:tr>
    </w:tbl>
    <w:p>
      <w:pPr>
        <w:pStyle w:val="BodyText"/>
      </w:pPr>
      <w:r>
        <w:t xml:space="preserve">If duration collapsed anywhere on schedule, it collapsed in what Americans consume — and Toffler saw that coming too, in a form stranger than disposable dresses. Part Three of</w:t>
      </w:r>
      <w:r>
        <w:t xml:space="preserve"> </w:t>
      </w:r>
      <w:r>
        <w:rPr>
          <w:i/>
        </w:rPr>
        <w:t xml:space="preserve">Future Shock</w:t>
      </w:r>
      <w:r>
        <w:t xml:space="preserve"> </w:t>
      </w:r>
      <w:r>
        <w:t xml:space="preserve">predicted that once material needs were met, the economy would pivot to manufacturing novelty itself: experiences sold in place of goods, sensations engineered like products, and, at the intimate scale, family structures fracturing into serial and provisional forms. An economy of experience merchants struck many 1970 reviewers as his most speculative flight. The next chapter checks the receipts — the experience-economy spending data and the Census family-structure series — and finds that this time the patient followed the script rather closely.</w:t>
      </w:r>
    </w:p>
    <w:p>
      <w:pPr>
        <w:pStyle w:val="Heading2"/>
      </w:pPr>
      <w:bookmarkStart w:id="37" w:name="sources-2"/>
      <w:r>
        <w:t xml:space="preserve">Sources</w:t>
      </w:r>
      <w:bookmarkEnd w:id="37"/>
    </w:p>
    <w:p>
      <w:pPr>
        <w:numPr>
          <w:ilvl w:val="0"/>
          <w:numId w:val="1003"/>
        </w:numPr>
        <w:pStyle w:val="Compact"/>
      </w:pPr>
      <w:r>
        <w:t xml:space="preserve">https://www.bls.gov/opub/ted/2024/median-tenure-with-current-employer-was-3-9-years-in-january-2024.htm — BLS, The Economics Daily (2024): median tenure with current employer was 3.9 years in January 2024, down from 4.1 in January 2022; lowest since January 2002.</w:t>
      </w:r>
    </w:p>
    <w:p>
      <w:pPr>
        <w:numPr>
          <w:ilvl w:val="0"/>
          <w:numId w:val="1003"/>
        </w:numPr>
        <w:pStyle w:val="Compact"/>
      </w:pPr>
      <w:r>
        <w:t xml:space="preserve">https://www.bls.gov/news.release/tenure.t01.htm — BLS, Employee Tenure in 2024, Table 1: median tenure by age and sex, 2014–2024; workers 25+ at 4.8 years in Jan 2024; men 45–54 at 7.5 years; workers 55–64 at 9.6 years vs 25–34 at 2.7 years.</w:t>
      </w:r>
    </w:p>
    <w:p>
      <w:pPr>
        <w:numPr>
          <w:ilvl w:val="0"/>
          <w:numId w:val="1003"/>
        </w:numPr>
        <w:pStyle w:val="Compact"/>
      </w:pPr>
      <w:r>
        <w:t xml:space="preserve">https://www.bls.gov/opub/ted/2000/Aug/wk4/art05.htm — BLS, The Economics Daily (2000): median tenure for men 45–54 fell from 12.8 years in 1983 to 9.5 years in 2000.</w:t>
      </w:r>
    </w:p>
    <w:p>
      <w:pPr>
        <w:numPr>
          <w:ilvl w:val="0"/>
          <w:numId w:val="1003"/>
        </w:numPr>
        <w:pStyle w:val="Compact"/>
      </w:pPr>
      <w:r>
        <w:t xml:space="preserve">https://www.ebri.org/content/trends-in-employee-tenure–1983-2024 — Employee Benefit Research Institute,</w:t>
      </w:r>
      <w:r>
        <w:t xml:space="preserve"> </w:t>
      </w:r>
      <w:r>
        <w:t xml:space="preserve">“</w:t>
      </w:r>
      <w:r>
        <w:t xml:space="preserve">Trends in Employee Tenure, 1983–2024</w:t>
      </w:r>
      <w:r>
        <w:t xml:space="preserve">”</w:t>
      </w:r>
      <w:r>
        <w:t xml:space="preserve"> </w:t>
      </w:r>
      <w:r>
        <w:t xml:space="preserve">(2025): median tenure of wage and salary workers 25+ has stayed at approximately five years across the full 40-year span; declining male tenure offset by rising female tenure.</w:t>
      </w:r>
    </w:p>
    <w:p>
      <w:pPr>
        <w:numPr>
          <w:ilvl w:val="0"/>
          <w:numId w:val="1003"/>
        </w:numPr>
        <w:pStyle w:val="Compact"/>
      </w:pPr>
      <w:r>
        <w:t xml:space="preserve">https://www.bls.gov/news.release/conemp.nr0.htm — BLS, Contingent and Alternative Employment Arrangements, July 2023 (released 2024): contingent workers 4.3% of employment (6.9 million), up from 3.8% in May 2017; independent contractors 11.9 million (7.4%); on-call workers 1.7%; 80.3% of independent contractors prefer their arrangement vs 8.3% preferring traditional employment.</w:t>
      </w:r>
    </w:p>
    <w:p>
      <w:pPr>
        <w:numPr>
          <w:ilvl w:val="0"/>
          <w:numId w:val="1003"/>
        </w:numPr>
        <w:pStyle w:val="Compact"/>
      </w:pPr>
      <w:r>
        <w:t xml:space="preserve">https://www.bls.gov/blog/2024/contingent-jobs-and-alternative-work-arrangements-what-you-need-to-know.htm — BLS Commissioner’s Corner blog (2024): plain-language summary of the 2023 Contingent Worker Supplement results.</w:t>
      </w:r>
    </w:p>
    <w:p>
      <w:pPr>
        <w:numPr>
          <w:ilvl w:val="0"/>
          <w:numId w:val="1003"/>
        </w:numPr>
        <w:pStyle w:val="Compact"/>
      </w:pPr>
      <w:r>
        <w:t xml:space="preserve">https://www.census.gov/library/publications/1972/demo/p20-235.html — Census Bureau, Current Population Reports, Series P-20, No. 235,</w:t>
      </w:r>
      <w:r>
        <w:t xml:space="preserve"> </w:t>
      </w:r>
      <w:r>
        <w:t xml:space="preserve">“</w:t>
      </w:r>
      <w:r>
        <w:t xml:space="preserve">Mobility of the Population of the United States: March 1970 to March 1971</w:t>
      </w:r>
      <w:r>
        <w:t xml:space="preserve">”</w:t>
      </w:r>
      <w:r>
        <w:t xml:space="preserve"> </w:t>
      </w:r>
      <w:r>
        <w:t xml:space="preserve">(1972): 18.7% of the U.S. population 1+ lived at a different address than one year earlier (17.9% domestic movers); average annual moving rate 19.1% for 1968–71.</w:t>
      </w:r>
    </w:p>
    <w:p>
      <w:pPr>
        <w:numPr>
          <w:ilvl w:val="0"/>
          <w:numId w:val="1003"/>
        </w:numPr>
        <w:pStyle w:val="Compact"/>
      </w:pPr>
      <w:r>
        <w:t xml:space="preserve">https://www.census.gov/newsroom/blogs/random-samplings/2017/01/mover-rate.html — Census Bureau, Random Samplings blog (Ihrke, 2017): mover rate of 11.2% in 2016, then the lowest since the series began in 1948 at 20.2%; within-county moves at record-low 6.9%; renters 22.9% vs owners 5.0% (2016); renters 35.2% and owners 9.5% in 1988.</w:t>
      </w:r>
    </w:p>
    <w:p>
      <w:pPr>
        <w:numPr>
          <w:ilvl w:val="0"/>
          <w:numId w:val="1003"/>
        </w:numPr>
        <w:pStyle w:val="Compact"/>
      </w:pPr>
      <w:r>
        <w:t xml:space="preserve">https://www.census.gov/library/stories/2023/09/why-people-move.html — Census Bureau, America Counts (2023): 2022 mover rate of 8.7%, not statistically different from the record-low 8.4% in 2021; mover rate at historic low.</w:t>
      </w:r>
    </w:p>
    <w:p>
      <w:pPr>
        <w:numPr>
          <w:ilvl w:val="0"/>
          <w:numId w:val="1003"/>
        </w:numPr>
        <w:pStyle w:val="Compact"/>
      </w:pPr>
      <w:r>
        <w:t xml:space="preserve">https://www.census.gov/data/tables/time-series/demo/geographic-mobility/historic.html — Census Bureau, CPS Historical Migration/Geographic Mobility Tables (Table A-1 and related): annual mover rates 1948–present; underlying series for all mobility figures cited.</w:t>
      </w:r>
    </w:p>
    <w:p>
      <w:pPr>
        <w:numPr>
          <w:ilvl w:val="0"/>
          <w:numId w:val="1003"/>
        </w:numPr>
        <w:pStyle w:val="Compact"/>
      </w:pPr>
      <w:r>
        <w:t xml:space="preserve">https://www.riaa.com/reports/2024-year-end-music-industry-revenue-report-riaa/ — RIAA, 2024 Year-End Music Industry Revenue Report (2025): streaming accounted for 84% of U.S. recorded music revenues for the third consecutive year ($14.9 billion); paid subscriptions surpassed 100 million for the first time; physical formats held 11% (~$2.0 billion).</w:t>
      </w:r>
    </w:p>
    <w:p>
      <w:pPr>
        <w:numPr>
          <w:ilvl w:val="0"/>
          <w:numId w:val="1003"/>
        </w:numPr>
        <w:pStyle w:val="Compact"/>
      </w:pPr>
      <w:r>
        <w:t xml:space="preserve">https://www.experian.com/blogs/insights/rise-in-new-vehicle-inventory-shifts-the-automotive-landscape-in-q1-2024/ — Experian, State of the Automotive Finance Market Q1 2024: new-vehicle lease share 24.12%, up from 19.33% in Q1 2023; Q2 2024 report shows leasing at 25.35%, up from 21.14% in Q2 2023.</w:t>
      </w:r>
    </w:p>
    <w:p>
      <w:pPr>
        <w:numPr>
          <w:ilvl w:val="0"/>
          <w:numId w:val="1003"/>
        </w:numPr>
        <w:pStyle w:val="Compact"/>
      </w:pPr>
      <w:r>
        <w:t xml:space="preserve">https://unitar.org/about/news-stories/press/global-e-waste-monitor-2024-electronic-waste-rising-five-times-faster-documented-e-waste-recycling — UNITAR/ITU, Global E-waste Monitor 2024 press release: record 62 million tonnes of e-waste generated in 2022 (up 82% from 2010); 22.3% documented as formally collected and recycled; projected 82 million tonnes by 2030; generation rising five times faster than documented recycling.</w:t>
      </w:r>
    </w:p>
    <w:p>
      <w:pPr>
        <w:numPr>
          <w:ilvl w:val="0"/>
          <w:numId w:val="1003"/>
        </w:numPr>
        <w:pStyle w:val="Compact"/>
      </w:pPr>
      <w:r>
        <w:t xml:space="preserve">https://ewastemonitor.info/the-global-e-waste-monitor-2024/ — Global E-waste Monitor 2024, full report landing page (Baldé et al., ITU/UNITAR): primary source for e-waste generation and recycling figures.</w:t>
      </w:r>
    </w:p>
    <w:p>
      <w:pPr>
        <w:pStyle w:val="Heading1"/>
      </w:pPr>
      <w:bookmarkStart w:id="38" w:name="chapter-3-novelty"/>
      <w:r>
        <w:t xml:space="preserve">Chapter 3 — Novelty</w:t>
      </w:r>
      <w:bookmarkEnd w:id="38"/>
    </w:p>
    <w:p>
      <w:pPr>
        <w:pStyle w:val="Heading2"/>
      </w:pPr>
      <w:bookmarkStart w:id="39" w:name="the-claim-2"/>
      <w:r>
        <w:t xml:space="preserve">The Claim</w:t>
      </w:r>
      <w:bookmarkEnd w:id="39"/>
    </w:p>
    <w:p>
      <w:pPr>
        <w:pStyle w:val="FirstParagraph"/>
      </w:pPr>
      <w:r>
        <w:t xml:space="preserve">Parts One and Two of</w:t>
      </w:r>
      <w:r>
        <w:t xml:space="preserve"> </w:t>
      </w:r>
      <w:r>
        <w:rPr>
          <w:i/>
        </w:rPr>
        <w:t xml:space="preserve">Future Shock</w:t>
      </w:r>
      <w:r>
        <w:t xml:space="preserve"> </w:t>
      </w:r>
      <w:r>
        <w:t xml:space="preserve">described the tempo of the disease; Part Three, which Toffler titled</w:t>
      </w:r>
      <w:r>
        <w:t xml:space="preserve"> </w:t>
      </w:r>
      <w:r>
        <w:t xml:space="preserve">“</w:t>
      </w:r>
      <w:r>
        <w:t xml:space="preserve">Novelty,</w:t>
      </w:r>
      <w:r>
        <w:t xml:space="preserve">”</w:t>
      </w:r>
      <w:r>
        <w:t xml:space="preserve"> </w:t>
      </w:r>
      <w:r>
        <w:t xml:space="preserve">predicted what the accelerating society would actually produce. His answer came in three movements, ordered from the laboratory to the living room. Chapter 9,</w:t>
      </w:r>
      <w:r>
        <w:t xml:space="preserve"> </w:t>
      </w:r>
      <w:r>
        <w:t xml:space="preserve">“</w:t>
      </w:r>
      <w:r>
        <w:t xml:space="preserve">The Scientific Trajectory,</w:t>
      </w:r>
      <w:r>
        <w:t xml:space="preserve">”</w:t>
      </w:r>
      <w:r>
        <w:t xml:space="preserve"> </w:t>
      </w:r>
      <w:r>
        <w:t xml:space="preserve">surveyed the frontier technologies he expected to arrive: ocean colonization — a section he called</w:t>
      </w:r>
      <w:r>
        <w:t xml:space="preserve"> </w:t>
      </w:r>
      <w:r>
        <w:t xml:space="preserve">“</w:t>
      </w:r>
      <w:r>
        <w:t xml:space="preserve">The New Atlantis,</w:t>
      </w:r>
      <w:r>
        <w:t xml:space="preserve">”</w:t>
      </w:r>
      <w:r>
        <w:t xml:space="preserve"> </w:t>
      </w:r>
      <w:r>
        <w:t xml:space="preserve">complete with undersea villages and aquaculture cities on the continental shelves — along with weather modification, pre-designed bodies, transplantable organs, and cyborgs. Chapter 10,</w:t>
      </w:r>
      <w:r>
        <w:t xml:space="preserve"> </w:t>
      </w:r>
      <w:r>
        <w:t xml:space="preserve">“</w:t>
      </w:r>
      <w:r>
        <w:t xml:space="preserve">The Experience Makers,</w:t>
      </w:r>
      <w:r>
        <w:t xml:space="preserve">”</w:t>
      </w:r>
      <w:r>
        <w:t xml:space="preserve"> </w:t>
      </w:r>
      <w:r>
        <w:t xml:space="preserve">made the economic prediction. And Chapter 11,</w:t>
      </w:r>
      <w:r>
        <w:t xml:space="preserve"> </w:t>
      </w:r>
      <w:r>
        <w:t xml:space="preserve">“</w:t>
      </w:r>
      <w:r>
        <w:t xml:space="preserve">The Fractured Family,</w:t>
      </w:r>
      <w:r>
        <w:t xml:space="preserve">”</w:t>
      </w:r>
      <w:r>
        <w:t xml:space="preserve"> </w:t>
      </w:r>
      <w:r>
        <w:t xml:space="preserve">made the social one.</w:t>
      </w:r>
    </w:p>
    <w:p>
      <w:pPr>
        <w:pStyle w:val="BodyText"/>
      </w:pPr>
      <w:r>
        <w:t xml:space="preserve">The economic prediction is the one that should have sounded most outlandish in 1970, and it is the one we now test first. Toffler argued that super-industrial economies were approaching a threshold at which the classic sequence — agriculture giving way to manufacturing, manufacturing to services — would take one more step. Once material needs were broadly met, he wrote, the economy would begin to manufacture psychological satisfaction itself. He named the coming sector: the</w:t>
      </w:r>
      <w:r>
        <w:t xml:space="preserve"> </w:t>
      </w:r>
      <w:r>
        <w:t xml:space="preserve">“</w:t>
      </w:r>
      <w:r>
        <w:t xml:space="preserve">experience industries,</w:t>
      </w:r>
      <w:r>
        <w:t xml:space="preserve">”</w:t>
      </w:r>
      <w:r>
        <w:t xml:space="preserve"> </w:t>
      </w:r>
      <w:r>
        <w:t xml:space="preserve">staffed by</w:t>
      </w:r>
      <w:r>
        <w:t xml:space="preserve"> </w:t>
      </w:r>
      <w:r>
        <w:t xml:space="preserve">“</w:t>
      </w:r>
      <w:r>
        <w:t xml:space="preserve">experience makers,</w:t>
      </w:r>
      <w:r>
        <w:t xml:space="preserve">”</w:t>
      </w:r>
      <w:r>
        <w:t xml:space="preserve"> </w:t>
      </w:r>
      <w:r>
        <w:t xml:space="preserve">selling engineered</w:t>
      </w:r>
      <w:r>
        <w:t xml:space="preserve"> </w:t>
      </w:r>
      <w:r>
        <w:t xml:space="preserve">“</w:t>
      </w:r>
      <w:r>
        <w:t xml:space="preserve">psychic gratification</w:t>
      </w:r>
      <w:r>
        <w:t xml:space="preserve">”</w:t>
      </w:r>
      <w:r>
        <w:t xml:space="preserve"> </w:t>
      </w:r>
      <w:r>
        <w:t xml:space="preserve">in place of goods. Their products would include what he called simulated environments — packaged artificial adventures offering the customer a taste of danger, romance, or another life without its risks — and</w:t>
      </w:r>
      <w:r>
        <w:t xml:space="preserve"> </w:t>
      </w:r>
      <w:r>
        <w:t xml:space="preserve">“</w:t>
      </w:r>
      <w:r>
        <w:t xml:space="preserve">live environments,</w:t>
      </w:r>
      <w:r>
        <w:t xml:space="preserve">”</w:t>
      </w:r>
      <w:r>
        <w:t xml:space="preserve"> </w:t>
      </w:r>
      <w:r>
        <w:t xml:space="preserve">whole physical settings designed and staged as experiences. Firms, he predicted, would stop competing on the product and start competing on the</w:t>
      </w:r>
      <w:r>
        <w:t xml:space="preserve"> </w:t>
      </w:r>
      <w:r>
        <w:t xml:space="preserve">“</w:t>
      </w:r>
      <w:r>
        <w:t xml:space="preserve">psychic load</w:t>
      </w:r>
      <w:r>
        <w:t xml:space="preserve">”</w:t>
      </w:r>
      <w:r>
        <w:t xml:space="preserve"> </w:t>
      </w:r>
      <w:r>
        <w:t xml:space="preserve">wrapped around it; airlines were already selling the flight attendant’s smile as hard as the airplane seat. The reviewer of 1970 filed this under speculation. The economist of 1998 gave it a name — but we are getting ahead of the chart.</w:t>
      </w:r>
    </w:p>
    <w:p>
      <w:pPr>
        <w:pStyle w:val="BodyText"/>
      </w:pPr>
      <w:r>
        <w:t xml:space="preserve">The social prediction ran parallel. The nuclear family, Toffler argued, was the family form of industrialism, and it would fracture under super-industrial conditions — not disappear, but splinter into a portfolio of provisional arrangements. He predicted</w:t>
      </w:r>
      <w:r>
        <w:t xml:space="preserve"> </w:t>
      </w:r>
      <w:r>
        <w:t xml:space="preserve">“</w:t>
      </w:r>
      <w:r>
        <w:t xml:space="preserve">temporary marriage</w:t>
      </w:r>
      <w:r>
        <w:t xml:space="preserve">”</w:t>
      </w:r>
      <w:r>
        <w:t xml:space="preserve"> </w:t>
      </w:r>
      <w:r>
        <w:t xml:space="preserve">becoming a recognized pattern, with serial marriage — a sequence of matches, each suited to a stage of life — replacing the single lifelong bond as the practical norm. He predicted the</w:t>
      </w:r>
      <w:r>
        <w:t xml:space="preserve"> </w:t>
      </w:r>
      <w:r>
        <w:t xml:space="preserve">“</w:t>
      </w:r>
      <w:r>
        <w:t xml:space="preserve">streamlined family</w:t>
      </w:r>
      <w:r>
        <w:t xml:space="preserve">”</w:t>
      </w:r>
      <w:r>
        <w:t xml:space="preserve">: couples deliberately childless, or deferring children far later than any prior generation, because child-rearing anchors people to place and permanence in a society that punishes both. And in a section titled</w:t>
      </w:r>
      <w:r>
        <w:t xml:space="preserve"> </w:t>
      </w:r>
      <w:r>
        <w:t xml:space="preserve">“</w:t>
      </w:r>
      <w:r>
        <w:t xml:space="preserve">Communes and Homosexual Daddies,</w:t>
      </w:r>
      <w:r>
        <w:t xml:space="preserve">”</w:t>
      </w:r>
      <w:r>
        <w:t xml:space="preserve"> </w:t>
      </w:r>
      <w:r>
        <w:t xml:space="preserve">he predicted an open proliferation of family forms — single parents, communal households, same-sex parents — that mainstream 1970 opinion regarded as marginal or unthinkable.</w:t>
      </w:r>
    </w:p>
    <w:p>
      <w:pPr>
        <w:pStyle w:val="BodyText"/>
      </w:pPr>
      <w:r>
        <w:t xml:space="preserve">Steelmanned, Part Three makes three testable claims and offers one falsifiable bonus. Consumer economies will shift measurably from goods toward services and engineered experiences. Simulated experience will grow from novelty into industry. The family will diversify into later, looser, more optional forms. And — the bonus — the physical frontier technologies of Chapter 9 will arrive on roughly the same schedule. That last claim is where his misses cluster, and a competent review treats the misses as data, not embarrassments: the pattern separating what he got right from what he got wrong turns out to be the most diagnostic finding in the chapter. The instruments this time are the national accounts, the Census family series, and the revenue ledgers of the industries that sell experience itself.</w:t>
      </w:r>
    </w:p>
    <w:p>
      <w:pPr>
        <w:pStyle w:val="Heading2"/>
      </w:pPr>
      <w:bookmarkStart w:id="40" w:name="the-tests-2"/>
      <w:r>
        <w:t xml:space="preserve">The Tests</w:t>
      </w:r>
      <w:bookmarkEnd w:id="40"/>
    </w:p>
    <w:p>
      <w:pPr>
        <w:pStyle w:val="FirstParagraph"/>
      </w:pPr>
      <w:r>
        <w:t xml:space="preserve">The first test goes to the national accounts, because Toffler’s economic claim is, unusually for him, directly measurable. The Bureau of Economic Analysis has tracked the composition of personal consumption expenditures — everything American households buy — since well before</w:t>
      </w:r>
      <w:r>
        <w:t xml:space="preserve"> </w:t>
      </w:r>
      <w:r>
        <w:rPr>
          <w:i/>
        </w:rPr>
        <w:t xml:space="preserve">Future Shock</w:t>
      </w:r>
      <w:r>
        <w:t xml:space="preserve"> </w:t>
      </w:r>
      <w:r>
        <w:t xml:space="preserve">was written. In 1959, services accounted for 39.9 percent of consumer spending and nondurable goods for 46.7 percent; by 2000 those shares had traded places, services at 58.1 percent and nondurables at 29.7 percent (BEA, Survey of Current Business, 2001). The line kept climbing: services reached about 65 percent of consumer spending by 2005 and nearly 70 percent by late 2025 (St. Louis Fed, 2026). Within that broad shift, the fastest-growing components read like an index to Chapter 10. Recreation services nearly doubled their share of household spending between 1959 and 2000, led by casino gambling and cable television; food eaten at home collapsed from 19.1 percent of spending to 8.3 percent while meals purchased away from home held steady and then grew — the same dollar migrating from the grocery bag to the staged experience of the restaurant (BEA, 2001). The American consumer of 1970 spent most of the household budget on things; the American consumer of 2025 spends more than two-thirds of it on intangibles.</w:t>
      </w:r>
    </w:p>
    <w:p>
      <w:pPr>
        <w:pStyle w:val="BodyText"/>
      </w:pPr>
      <w:r>
        <w:t xml:space="preserve">The intellectual paper trail is just as clean. In the July 1998 Harvard Business Review, B. Joseph Pine II and James Gilmore published</w:t>
      </w:r>
      <w:r>
        <w:t xml:space="preserve"> </w:t>
      </w:r>
      <w:r>
        <w:t xml:space="preserve">“</w:t>
      </w:r>
      <w:r>
        <w:t xml:space="preserve">Welcome to the Experience Economy,</w:t>
      </w:r>
      <w:r>
        <w:t xml:space="preserve">”</w:t>
      </w:r>
      <w:r>
        <w:t xml:space="preserve"> </w:t>
      </w:r>
      <w:r>
        <w:t xml:space="preserve">announcing that experiences had become a fourth economic offering, as distinct from services as services are from goods — companies would henceforth stage memorable events, and charge admission to the memory (Pine &amp; Gilmore, HBR, 1998). It is the founding document of a management literature that now runs to thousands of titles, and its authors acknowledged the lineage: the first description of an economy organized around engineered experience appears in Chapter 10 of</w:t>
      </w:r>
      <w:r>
        <w:t xml:space="preserve"> </w:t>
      </w:r>
      <w:r>
        <w:rPr>
          <w:i/>
        </w:rPr>
        <w:t xml:space="preserve">Future Shock</w:t>
      </w:r>
      <w:r>
        <w:t xml:space="preserve">, which Pine and Gilmore quoted, experience industries and all. It is a rare thing in this case file — the physician’s speculative diagnosis adopted, twenty-eight years later, as the textbook’s chapter heading.</w:t>
      </w:r>
    </w:p>
    <w:p>
      <w:pPr>
        <w:pStyle w:val="BodyText"/>
      </w:pPr>
      <w:r>
        <w:t xml:space="preserve">The second test weighs the experience merchants themselves. Toffler’s clearest concrete example of a</w:t>
      </w:r>
      <w:r>
        <w:t xml:space="preserve"> </w:t>
      </w:r>
      <w:r>
        <w:t xml:space="preserve">“</w:t>
      </w:r>
      <w:r>
        <w:t xml:space="preserve">live environment</w:t>
      </w:r>
      <w:r>
        <w:t xml:space="preserve">”</w:t>
      </w:r>
      <w:r>
        <w:t xml:space="preserve"> </w:t>
      </w:r>
      <w:r>
        <w:t xml:space="preserve">was the staged destination, and the industry that stages them now publishes an annual census. The top twenty-five theme parks in the world drew a combined 246 million visits in 2024, up 2.4 percent on the year; Disney’s Magic Kingdom alone drew 17.8 million, and Disney’s twelve parks together accounted for roughly 140 million visits (TEA/AECOM Global Experience Index, 2024). For simulated environments — the packaged artificial adventure — the modern instrument is the video game industry, which sells exactly what Chapter 10 described: a taste of combat, exploration, or another identity, engineered, priced, and risk-free. That industry generated nearly $190 billion globally in 2024, against roughly $32 billion for the entire worldwide theatrical box office and $36 billion for recorded music — the simulated-experience business now out-earns the movie and music industries combined by a factor of nearly three (Federal Reserve Bank of Kansas City, citing Newzoo, 2024). Toffler imagined the experience industries as a coming</w:t>
      </w:r>
      <w:r>
        <w:t xml:space="preserve"> </w:t>
      </w:r>
      <w:r>
        <w:t xml:space="preserve">“</w:t>
      </w:r>
      <w:r>
        <w:t xml:space="preserve">basic sector</w:t>
      </w:r>
      <w:r>
        <w:t xml:space="preserve">”</w:t>
      </w:r>
      <w:r>
        <w:t xml:space="preserve"> </w:t>
      </w:r>
      <w:r>
        <w:t xml:space="preserve">of the economy. On the revenue evidence, the sector arrived, consolidated, and became the largest entertainment business in human history.</w:t>
      </w:r>
    </w:p>
    <w:p>
      <w:pPr>
        <w:pStyle w:val="BodyText"/>
      </w:pPr>
      <w:r>
        <w:t xml:space="preserve">The third test opens the family file, and here the Census and CDC series speak in one voice. Start with timing. In 1970 the median American man married for the first time at 23.2 and the median woman at 20.8; by 2024 those figures were 30.2 and 28.6 (Census Bureau, Table MS-2; Census Bureau, 2024). Seven to eight additional years of adult life lived outside marriage is not a marginal adjustment; it is a redesigned life course. Living alone, a statistical rarity when Toffler wrote, has become the single most common household type: one-person households rose from 17.6 percent of all households in 1970 to about 29 percent in 2022 (Census Bureau, 2023). Children have become later and more optional. The total fertility rate fell from 2.48 births per woman in 1970 to 1.62 in 2023 (CDC/NCHS, 2025), and the share of women reaching their early forties without having given birth roughly doubled, from 10 percent in 1976 (Pew Research Center, 2010) to 18.8 percent in 2024 (Census Bureau, 2025). The choice is increasingly explicit rather than circumstantial: 44 percent of American non-parents aged 18 to 49 now say they are unlikely ever to have children, up from 37 percent just three years earlier, and a 56 percent majority of them give the reason Toffler’s streamlined couples gave — they simply do not want to (Pew, 2021).</w:t>
      </w:r>
    </w:p>
    <w:p>
      <w:pPr>
        <w:pStyle w:val="BodyText"/>
      </w:pPr>
      <w:r>
        <w:t xml:space="preserve">The marriage data, read closely, complicate his script in an instructive way. Toffler bet on serial marriage: bond, dissolve, rebond. For a decade the patient followed that script exactly — the divorce rate climbed from 3.5 per 1,000 population in 1970 to a peak of 5.3 in 1981. But then it fell, and kept falling, to 2.4 by 2022, below where it stood when the book was published (CDC/NCHS; NCFMR, 2024). What actually happened is stranger than serial marriage: Americans increasingly declined to file the paperwork at all. Among adults aged 18 to 44, 59 percent have lived with an unmarried partner while only 50 percent have ever been married, and the share of all adults currently cohabiting more than doubled between 1995 and 2019 (Pew, 2019, from the National Survey of Family Growth). The provisional bond Toffler predicted arrived on schedule; it simply stopped bothering with the wedding, which means it no longer shows up in the divorce statistics when it dissolves. And the proliferation of forms he sketched in his most-ridiculed section is now ordinary Census taxonomy: same-sex married couples have been counted in the national marriage statistics since 2019 (Census Bureau, MS-2 documentation, 2025).</w:t>
      </w:r>
    </w:p>
    <w:p>
      <w:pPr>
        <w:pStyle w:val="BodyText"/>
      </w:pPr>
      <w:r>
        <w:t xml:space="preserve">The final test is the one the patient failed, and we run it deliberately. The New Atlantis was never built: no undersea village, no aquaculture city, no work colonies on the continental shelf, which Toffler expected within decades. Weather control remained a weapon nobody acquired. Paper clothing — strictly a Part Two prediction, but from the same forecasting family — died as a fad before the book reached paperback (Fast Company, 2010; The Globe and Mail, 2020). These were not throwaway lines; Chapter 9 presented them as the near-term trajectory of applied science. Against the same fifty-year window that made the experience economy and the fractured family look prophetic, the physical predictions of Part Three scored close to zero.</w:t>
      </w:r>
    </w:p>
    <w:p>
      <w:pPr>
        <w:pStyle w:val="Heading2"/>
      </w:pPr>
      <w:bookmarkStart w:id="41" w:name="the-finding-2"/>
      <w:r>
        <w:t xml:space="preserve">The Finding</w:t>
      </w:r>
      <w:bookmarkEnd w:id="41"/>
    </w:p>
    <w:p>
      <w:pPr>
        <w:pStyle w:val="FirstParagraph"/>
      </w:pPr>
      <w:r>
        <w:t xml:space="preserve">The split verdict on Part Three is sharper than anywhere else in the book, and the line dividing hit from miss is worth stating precisely, because it is the same line we found in Chapter 1. Every prediction in Part Three that required only a change in what people buy, feel, or agree to — the experience economy, the postponed wedding, the childless couple, the household of one, the family formed without paperwork — came true, most of them beyond the forecast. Every prediction that required moving large masses of matter against energy costs, engineering limits, and regulatory drag — cities under the sea, weather on demand — failed outright. Toffler extrapolated all of it from the same premise, the accelerating curve of the special century. But the acceleration, as the productivity data in Chapter 1 showed, was already splitting when he wrote: the world of bits and social arrangements kept speeding up while the world of atoms stalled. Part Three is that asymmetry rendered as a scorecard. His hits were cheap to build; his misses were expensive. The experience economy needed no new physics — only rising incomes, falling goods prices, and a consumer whose closets were already full. The New Atlantis needed steel, pressure hulls, and an economic reason to exist, and none ever materialized.</w:t>
      </w:r>
    </w:p>
    <w:p>
      <w:pPr>
        <w:pStyle w:val="BodyText"/>
      </w:pPr>
      <w:r>
        <w:t xml:space="preserve">There is a second pattern in the hits worth recording. Toffler was most accurate where he read demand rather than supply — where he asked what people would want once affluence freed them to want it, instead of asking what engineers would deliver. The fractured family follows from one assumption: that individuals given economic independence and social permission will optimize their intimate arrangements the way they optimize anything else, provisionally. The experience economy follows from another: that a consumer who owns enough things will start buying what it feels like to be someone else somewhere else. Both assumptions were about human appetite, not technology, and both proved durable because appetite does not obey the productivity slowdown. Where he forecast machines, he was a man of his moment; where he forecast desire, he was a generation early.</w:t>
      </w:r>
    </w:p>
    <w:p>
      <w:pPr>
        <w:pStyle w:val="BodyText"/>
      </w:pPr>
      <w:r>
        <w:t xml:space="preserve">The revised diagnosis: Part Three contains the book’s single most prescient economic call, confirmed in the national accounts and canonized by the very consultants who built the field, and its most complete social forecast, confirmed line by line in the Census tables — alongside its most spectacular failures, which share one telltale trait. The physician read the patient’s psychology nearly perfectly and the patient’s physics hardly at all. For a book about the human response to change, that is the right error to have made.</w:t>
      </w:r>
    </w:p>
    <w:p>
      <w:pPr>
        <w:pStyle w:val="Heading2"/>
      </w:pPr>
      <w:bookmarkStart w:id="42" w:name="verdict-2"/>
      <w:r>
        <w:t xml:space="preserve">Verdict</w:t>
      </w:r>
      <w:bookmarkEnd w:id="4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claim (Part Three)</w:t>
            </w:r>
          </w:p>
        </w:tc>
        <w:tc>
          <w:tcPr>
            <w:tcBorders>
              <w:bottom w:val="single"/>
            </w:tcBorders>
            <w:vAlign w:val="bottom"/>
          </w:tcPr>
          <w:p>
            <w:pPr>
              <w:pStyle w:val="Compact"/>
              <w:jc w:val="left"/>
            </w:pPr>
            <w:r>
              <w:t xml:space="preserve">The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w:t>
            </w:r>
            <w:r>
              <w:t xml:space="preserve">Experience industries</w:t>
            </w:r>
            <w:r>
              <w:t xml:space="preserve">”</w:t>
            </w:r>
            <w:r>
              <w:t xml:space="preserve"> </w:t>
            </w:r>
            <w:r>
              <w:t xml:space="preserve">will become a basic sector: economies will sell engineered experience in place of goods</w:t>
            </w:r>
          </w:p>
        </w:tc>
        <w:tc>
          <w:p>
            <w:pPr>
              <w:pStyle w:val="Compact"/>
              <w:jc w:val="left"/>
            </w:pPr>
            <w:r>
              <w:t xml:space="preserve">Services rose from 39.9% of U.S. consumer spending (1959) to 58.1% (2000) to nearly 70% (2025); concept formalized as the</w:t>
            </w:r>
            <w:r>
              <w:t xml:space="preserve"> </w:t>
            </w:r>
            <w:r>
              <w:t xml:space="preserve">“</w:t>
            </w:r>
            <w:r>
              <w:t xml:space="preserve">Experience Economy</w:t>
            </w:r>
            <w:r>
              <w:t xml:space="preserve">”</w:t>
            </w:r>
            <w:r>
              <w:t xml:space="preserve"> </w:t>
            </w:r>
            <w:r>
              <w:t xml:space="preserve">in 1998, with Pine &amp; Gilmore quoting Toffler’s chapter</w:t>
            </w:r>
          </w:p>
        </w:tc>
        <w:tc>
          <w:p>
            <w:pPr>
              <w:pStyle w:val="Compact"/>
              <w:jc w:val="left"/>
            </w:pPr>
            <w:r>
              <w:t xml:space="preserve">Confirmed</w:t>
            </w:r>
          </w:p>
        </w:tc>
        <w:tc>
          <w:p>
            <w:pPr>
              <w:pStyle w:val="Compact"/>
              <w:jc w:val="left"/>
            </w:pPr>
            <w:r>
              <w:t xml:space="preserve">BEA, Survey of Current Business (2001); St. Louis Fed (2026); Pine &amp; Gilmore, HBR (1998)</w:t>
            </w:r>
          </w:p>
        </w:tc>
      </w:tr>
      <w:tr>
        <w:tc>
          <w:p>
            <w:pPr>
              <w:pStyle w:val="Compact"/>
              <w:jc w:val="left"/>
            </w:pPr>
            <w:r>
              <w:t xml:space="preserve">Simulated environments — packaged artificial adventure — will be sold as products</w:t>
            </w:r>
          </w:p>
        </w:tc>
        <w:tc>
          <w:p>
            <w:pPr>
              <w:pStyle w:val="Compact"/>
              <w:jc w:val="left"/>
            </w:pPr>
            <w:r>
              <w:t xml:space="preserve">Video games generated ~$190B globally in 2024 vs. ~$32B for worldwide box office and ~$36B for recorded music; top 25 theme parks drew 246M visits in 2024</w:t>
            </w:r>
          </w:p>
        </w:tc>
        <w:tc>
          <w:p>
            <w:pPr>
              <w:pStyle w:val="Compact"/>
              <w:jc w:val="left"/>
            </w:pPr>
            <w:r>
              <w:t xml:space="preserve">Confirmed</w:t>
            </w:r>
          </w:p>
        </w:tc>
        <w:tc>
          <w:p>
            <w:pPr>
              <w:pStyle w:val="Compact"/>
              <w:jc w:val="left"/>
            </w:pPr>
            <w:r>
              <w:t xml:space="preserve">Kansas City Fed, citing Newzoo (2024); TEA/AECOM Global Experience Index (2024)</w:t>
            </w:r>
          </w:p>
        </w:tc>
      </w:tr>
      <w:tr>
        <w:tc>
          <w:p>
            <w:pPr>
              <w:pStyle w:val="Compact"/>
              <w:jc w:val="left"/>
            </w:pPr>
            <w:r>
              <w:t xml:space="preserve">The family will fracture: delayed marriage, childlessness by choice, solo living, diverse family forms</w:t>
            </w:r>
          </w:p>
        </w:tc>
        <w:tc>
          <w:p>
            <w:pPr>
              <w:pStyle w:val="Compact"/>
              <w:jc w:val="left"/>
            </w:pPr>
            <w:r>
              <w:t xml:space="preserve">Median age at first marriage rose from 23.2/20.8 (men/women, 1970) to 30.2/28.6 (2024); one-person households from 17.6% (1970) to ~29% (2022); TFR from 2.48 (1970) to 1.62 (2023); childlessness at 40–44 from 10% (1976) to 18.8% (2024); 44% of non-parents 18–49 say they are unlikely to have children</w:t>
            </w:r>
          </w:p>
        </w:tc>
        <w:tc>
          <w:p>
            <w:pPr>
              <w:pStyle w:val="Compact"/>
              <w:jc w:val="left"/>
            </w:pPr>
            <w:r>
              <w:t xml:space="preserve">Confirmed</w:t>
            </w:r>
          </w:p>
        </w:tc>
        <w:tc>
          <w:p>
            <w:pPr>
              <w:pStyle w:val="Compact"/>
              <w:jc w:val="left"/>
            </w:pPr>
            <w:r>
              <w:t xml:space="preserve">Census MS-2 (2025); Census (2023, 2025); CDC/NCHS (2025); Pew (2010, 2021)</w:t>
            </w:r>
          </w:p>
        </w:tc>
      </w:tr>
      <w:tr>
        <w:tc>
          <w:p>
            <w:pPr>
              <w:pStyle w:val="Compact"/>
              <w:jc w:val="left"/>
            </w:pPr>
            <w:r>
              <w:t xml:space="preserve">Serial marriage — marry, divorce, remarry — becomes the standard relationship pattern</w:t>
            </w:r>
          </w:p>
        </w:tc>
        <w:tc>
          <w:p>
            <w:pPr>
              <w:pStyle w:val="Compact"/>
              <w:jc w:val="left"/>
            </w:pPr>
            <w:r>
              <w:t xml:space="preserve">Divorce rate rose from 3.5/1,000 (1970) to 5.3 (1981), then fell to 2.4 (2022) — below the 1970 level; instead, cohabitation surpassed marriage among adults 18–44 (59% have cohabited vs. 50% ever married)</w:t>
            </w:r>
          </w:p>
        </w:tc>
        <w:tc>
          <w:p>
            <w:pPr>
              <w:pStyle w:val="Compact"/>
              <w:jc w:val="left"/>
            </w:pPr>
            <w:r>
              <w:t xml:space="preserve">Partial</w:t>
            </w:r>
          </w:p>
        </w:tc>
        <w:tc>
          <w:p>
            <w:pPr>
              <w:pStyle w:val="Compact"/>
              <w:jc w:val="left"/>
            </w:pPr>
            <w:r>
              <w:t xml:space="preserve">CDC/NCHS; NCFMR (2024); Pew (2019)</w:t>
            </w:r>
          </w:p>
        </w:tc>
      </w:tr>
      <w:tr>
        <w:tc>
          <w:p>
            <w:pPr>
              <w:pStyle w:val="Compact"/>
              <w:jc w:val="left"/>
            </w:pPr>
            <w:r>
              <w:t xml:space="preserve">The scientific trajectory: undersea cities (</w:t>
            </w:r>
            <w:r>
              <w:t xml:space="preserve">“</w:t>
            </w:r>
            <w:r>
              <w:t xml:space="preserve">The New Atlantis</w:t>
            </w:r>
            <w:r>
              <w:t xml:space="preserve">”</w:t>
            </w:r>
            <w:r>
              <w:t xml:space="preserve">), weather control, and allied physical marvels within decades</w:t>
            </w:r>
          </w:p>
        </w:tc>
        <w:tc>
          <w:p>
            <w:pPr>
              <w:pStyle w:val="Compact"/>
              <w:jc w:val="left"/>
            </w:pPr>
            <w:r>
              <w:t xml:space="preserve">No undersea settlements or aquaculture cities exist; no operational weather control; paper clothing died as a 1960s fad</w:t>
            </w:r>
          </w:p>
        </w:tc>
        <w:tc>
          <w:p>
            <w:pPr>
              <w:pStyle w:val="Compact"/>
              <w:jc w:val="left"/>
            </w:pPr>
            <w:r>
              <w:t xml:space="preserve">Refuted</w:t>
            </w:r>
          </w:p>
        </w:tc>
        <w:tc>
          <w:p>
            <w:pPr>
              <w:pStyle w:val="Compact"/>
              <w:jc w:val="left"/>
            </w:pPr>
            <w:r>
              <w:t xml:space="preserve">Fast Company (2010); The Globe and Mail (2020)</w:t>
            </w:r>
          </w:p>
        </w:tc>
      </w:tr>
    </w:tbl>
    <w:p>
      <w:pPr>
        <w:pStyle w:val="BodyText"/>
      </w:pPr>
      <w:r>
        <w:t xml:space="preserve">The experience economy solved one of Toffler’s problems and detonated another. Once the merchants of engineered experience learned to manufacture novelty at industrial scale, the shelf of available lives — products, channels, identities, tribes — grew without limit, and the question stopped being whether the future would arrive and became how anyone could choose among its offerings. Toffler saw that coming too, and gave the affliction a name that outlived him: overchoice. Part Four of</w:t>
      </w:r>
      <w:r>
        <w:t xml:space="preserve"> </w:t>
      </w:r>
      <w:r>
        <w:rPr>
          <w:i/>
        </w:rPr>
        <w:t xml:space="preserve">Future Shock</w:t>
      </w:r>
      <w:r>
        <w:t xml:space="preserve"> </w:t>
      </w:r>
      <w:r>
        <w:t xml:space="preserve">predicted a society drowning in options, its mass culture shattered into niches, its citizens assembling identities from a catalog. The next chapter counts the catalog — the supermarket shelf, the streaming library, the fragmenting audience — and checks whether the choice explosion he predicted arrived, and what happened to the people standing in the aisle.</w:t>
      </w:r>
    </w:p>
    <w:p>
      <w:pPr>
        <w:pStyle w:val="Heading2"/>
      </w:pPr>
      <w:bookmarkStart w:id="43" w:name="sources-3"/>
      <w:r>
        <w:t xml:space="preserve">Sources</w:t>
      </w:r>
      <w:bookmarkEnd w:id="43"/>
    </w:p>
    <w:p>
      <w:pPr>
        <w:numPr>
          <w:ilvl w:val="0"/>
          <w:numId w:val="1004"/>
        </w:numPr>
        <w:pStyle w:val="Compact"/>
      </w:pPr>
      <w:r>
        <w:t xml:space="preserve">https://apps.bea.gov/scb/pdf/national/nipa/2001/0301pce.pdf — BEA,</w:t>
      </w:r>
      <w:r>
        <w:t xml:space="preserve"> </w:t>
      </w:r>
      <w:r>
        <w:t xml:space="preserve">“</w:t>
      </w:r>
      <w:r>
        <w:t xml:space="preserve">Trends in Consumer Spending, 1959–2000</w:t>
      </w:r>
      <w:r>
        <w:t xml:space="preserve">”</w:t>
      </w:r>
      <w:r>
        <w:t xml:space="preserve"> </w:t>
      </w:r>
      <w:r>
        <w:t xml:space="preserve">(Moran &amp; McCully, Survey of Current Business, March 2001): services’ share of current-dollar PCE rose from 39.9% (1959) to 58.1% (2000); nondurables fell from 46.7% to 29.7%; recreation services from 2.0% to 3.9%; food at home from 19.1% to 8.3% of spending.</w:t>
      </w:r>
    </w:p>
    <w:p>
      <w:pPr>
        <w:numPr>
          <w:ilvl w:val="0"/>
          <w:numId w:val="1004"/>
        </w:numPr>
        <w:pStyle w:val="Compact"/>
      </w:pPr>
      <w:r>
        <w:t xml:space="preserve">https://www.stlouisfed.org/open-vault/2026/feb/how-important-is-the-services-sector-to-the-us-economy — Federal Reserve Bank of St. Louis, Open Vault (Feb 2026): services represented nearly 70% of PCE in November 2025, up from 65% in January 2005 and 45% at the start of 1950.</w:t>
      </w:r>
    </w:p>
    <w:p>
      <w:pPr>
        <w:numPr>
          <w:ilvl w:val="0"/>
          <w:numId w:val="1004"/>
        </w:numPr>
        <w:pStyle w:val="Compact"/>
      </w:pPr>
      <w:r>
        <w:t xml:space="preserve">https://hbr.org/1998/07/welcome-to-the-experience-economy — Pine, B. J. II &amp; Gilmore, J. H.,</w:t>
      </w:r>
      <w:r>
        <w:t xml:space="preserve"> </w:t>
      </w:r>
      <w:r>
        <w:t xml:space="preserve">“</w:t>
      </w:r>
      <w:r>
        <w:t xml:space="preserve">Welcome to the Experience Economy,</w:t>
      </w:r>
      <w:r>
        <w:t xml:space="preserve">”</w:t>
      </w:r>
      <w:r>
        <w:t xml:space="preserve"> </w:t>
      </w:r>
      <w:r>
        <w:t xml:space="preserve">Harvard Business Review (July–August 1998): experiences as a fourth economic offering distinct from services; foundational document of the experience-economy literature.</w:t>
      </w:r>
    </w:p>
    <w:p>
      <w:pPr>
        <w:numPr>
          <w:ilvl w:val="0"/>
          <w:numId w:val="1004"/>
        </w:numPr>
        <w:pStyle w:val="Compact"/>
      </w:pPr>
      <w:r>
        <w:t xml:space="preserve">https://en.wikipedia.org/wiki/Experience_economy — Experience economy overview: documents that the concept’s first description appears in Toffler’s</w:t>
      </w:r>
      <w:r>
        <w:t xml:space="preserve"> </w:t>
      </w:r>
      <w:r>
        <w:rPr>
          <w:i/>
        </w:rPr>
        <w:t xml:space="preserve">Future Shock</w:t>
      </w:r>
      <w:r>
        <w:t xml:space="preserve"> </w:t>
      </w:r>
      <w:r>
        <w:t xml:space="preserve">Chapter 10 (</w:t>
      </w:r>
      <w:r>
        <w:t xml:space="preserve">“</w:t>
      </w:r>
      <w:r>
        <w:t xml:space="preserve">The Experience Makers</w:t>
      </w:r>
      <w:r>
        <w:t xml:space="preserve">”</w:t>
      </w:r>
      <w:r>
        <w:t xml:space="preserve">), which Pine &amp; Gilmore quoted; supports the lineage claim.</w:t>
      </w:r>
    </w:p>
    <w:p>
      <w:pPr>
        <w:numPr>
          <w:ilvl w:val="0"/>
          <w:numId w:val="1004"/>
        </w:numPr>
        <w:pStyle w:val="Compact"/>
      </w:pPr>
      <w:r>
        <w:t xml:space="preserve">https://www.teaconnect.org/news/official-release-2024-tea-global-experience-indextm — Themed Entertainment Association / AECOM, 2024 Global Experience Index (released 2025): top 25 theme parks drew ~246 million combined visits in 2024 (+2.4%); Magic Kingdom 17.8 million; Disney’s 12 parks ~140 million visits (~34% of global top-park attendance).</w:t>
      </w:r>
    </w:p>
    <w:p>
      <w:pPr>
        <w:numPr>
          <w:ilvl w:val="0"/>
          <w:numId w:val="1004"/>
        </w:numPr>
        <w:pStyle w:val="Compact"/>
      </w:pPr>
      <w:r>
        <w:t xml:space="preserve">https://www.kansascityfed.org/research/payments-system-research-briefings/game-changer-the-evolution-of-video-games-payments-infrastructure/ — Federal Reserve Bank of Kansas City (2025), citing Newzoo 2024: video games generated nearly $190 billion in global revenue in 2024, exceeding the combined revenues of global recorded music (~$36B) and global box office (~$32B).</w:t>
      </w:r>
    </w:p>
    <w:p>
      <w:pPr>
        <w:numPr>
          <w:ilvl w:val="0"/>
          <w:numId w:val="1004"/>
        </w:numPr>
        <w:pStyle w:val="Compact"/>
      </w:pPr>
      <w:r>
        <w:t xml:space="preserve">https://www.census.gov/data/tables/time-series/demo/families/marital.html — Census Bureau, Historical Marital Status Tables, Table MS-2 (Estimated Median Age at First Marriage, by Sex, 1890–present): median age at first marriage 23.2 (men) and 20.8 (women) in 1970; same-sex married couples included in estimates from 2019.</w:t>
      </w:r>
    </w:p>
    <w:p>
      <w:pPr>
        <w:numPr>
          <w:ilvl w:val="0"/>
          <w:numId w:val="1004"/>
        </w:numPr>
        <w:pStyle w:val="Compact"/>
      </w:pPr>
      <w:r>
        <w:t xml:space="preserve">https://www.census.gov/newsroom/press-releases/2024/families-and-living-arrangements.html — Census Bureau press release, Families and Living Arrangements (2024): estimated median age at first marriage of 30.2 for men and 28.6 for women in 2024.</w:t>
      </w:r>
    </w:p>
    <w:p>
      <w:pPr>
        <w:numPr>
          <w:ilvl w:val="0"/>
          <w:numId w:val="1004"/>
        </w:numPr>
        <w:pStyle w:val="Compact"/>
      </w:pPr>
      <w:r>
        <w:t xml:space="preserve">https://www.census.gov/library/stories/2023/06/more-than-a-quarter-all-households-have-one-person.html — Census Bureau, America Counts (2023): one-person households rose from 17.6% of households in 1970 to about 29% (2022); share more than tripled from 1940 to 2020.</w:t>
      </w:r>
    </w:p>
    <w:p>
      <w:pPr>
        <w:numPr>
          <w:ilvl w:val="0"/>
          <w:numId w:val="1004"/>
        </w:numPr>
        <w:pStyle w:val="Compact"/>
      </w:pPr>
      <w:r>
        <w:t xml:space="preserve">https://www.cdc.gov/nchs/data/nvsr/nvsr74/nvsr74-1.pdf — CDC/NCHS,</w:t>
      </w:r>
      <w:r>
        <w:t xml:space="preserve"> </w:t>
      </w:r>
      <w:r>
        <w:t xml:space="preserve">“</w:t>
      </w:r>
      <w:r>
        <w:t xml:space="preserve">Births: Final Data for 2023,</w:t>
      </w:r>
      <w:r>
        <w:t xml:space="preserve">”</w:t>
      </w:r>
      <w:r>
        <w:t xml:space="preserve"> </w:t>
      </w:r>
      <w:r>
        <w:t xml:space="preserve">National Vital Statistics Reports 74(1) (2025): total fertility rate 1,621.0 births per 1,000 women (1.62 per woman) in 2023; historical TFR of 2.48 in 1970 from the NVSS series.</w:t>
      </w:r>
    </w:p>
    <w:p>
      <w:pPr>
        <w:numPr>
          <w:ilvl w:val="0"/>
          <w:numId w:val="1004"/>
        </w:numPr>
        <w:pStyle w:val="Compact"/>
      </w:pPr>
      <w:r>
        <w:t xml:space="preserve">https://www.pewresearch.org/social-trends/2010/06/25/childlessness-up-among-all-women-down-among-women-with-advanced-degrees/ — Pew Research Center (2010): about 10% of women ages 40–44 had never given birth in 1976 (Census CPS data); baseline for the childlessness series.</w:t>
      </w:r>
    </w:p>
    <w:p>
      <w:pPr>
        <w:numPr>
          <w:ilvl w:val="0"/>
          <w:numId w:val="1004"/>
        </w:numPr>
        <w:pStyle w:val="Compact"/>
      </w:pPr>
      <w:r>
        <w:t xml:space="preserve">https://www.census.gov/library/stories/2025/09/older-mothers.html — Census Bureau, America Counts (2025): share of women 40–44 who had not given birth rose from 15.3% (2014) to 18.8% (2024); CPS Fertility Supplement.</w:t>
      </w:r>
    </w:p>
    <w:p>
      <w:pPr>
        <w:numPr>
          <w:ilvl w:val="0"/>
          <w:numId w:val="1004"/>
        </w:numPr>
        <w:pStyle w:val="Compact"/>
      </w:pPr>
      <w:r>
        <w:t xml:space="preserve">https://www.pewresearch.org/short-reads/2021/11/19/growing-share-of-childless-adults-in-u-s-dont-expect-to-ever-have-children/ — Pew Research Center (2021): 44% of non-parents ages 18–49 say it is not too or not at all likely they will ever have children, up from 37% in 2018; 56% of those say they just don’t want kids.</w:t>
      </w:r>
    </w:p>
    <w:p>
      <w:pPr>
        <w:numPr>
          <w:ilvl w:val="0"/>
          <w:numId w:val="1004"/>
        </w:numPr>
        <w:pStyle w:val="Compact"/>
      </w:pPr>
      <w:r>
        <w:t xml:space="preserve">https://www.bgsu.edu/ncfmr/resources/data/family-profiles/FP-24-11.html — Bowling Green State University, National Center for Family &amp; Marriage Research,</w:t>
      </w:r>
      <w:r>
        <w:t xml:space="preserve"> </w:t>
      </w:r>
      <w:r>
        <w:t xml:space="preserve">“</w:t>
      </w:r>
      <w:r>
        <w:t xml:space="preserve">Divorce: More than a Century of Change, 1900–2022</w:t>
      </w:r>
      <w:r>
        <w:t xml:space="preserve">”</w:t>
      </w:r>
      <w:r>
        <w:t xml:space="preserve"> </w:t>
      </w:r>
      <w:r>
        <w:t xml:space="preserve">(2024): crude divorce rate peaked at 5.3 per 1,000 population (1981) and stood at 2.4 in 2022; CDC/NCHS vital statistics show 3.5 in 1970.</w:t>
      </w:r>
    </w:p>
    <w:p>
      <w:pPr>
        <w:numPr>
          <w:ilvl w:val="0"/>
          <w:numId w:val="1004"/>
        </w:numPr>
        <w:pStyle w:val="Compact"/>
      </w:pPr>
      <w:r>
        <w:t xml:space="preserve">https://www.pewresearch.org/short-reads/2019/11/06/key-findings-on-marriage-and-cohabitation-in-the-u-s/ — Pew Research Center (2019), analyzing the National Survey of Family Growth: 59% of adults 18–44 have ever cohabited vs. 50% ever married; share of adults currently cohabiting rose from 3% (1995) to 7% (2019).</w:t>
      </w:r>
    </w:p>
    <w:p>
      <w:pPr>
        <w:numPr>
          <w:ilvl w:val="0"/>
          <w:numId w:val="1004"/>
        </w:numPr>
        <w:pStyle w:val="Compact"/>
      </w:pPr>
      <w:r>
        <w:t xml:space="preserve">https://www.fastcompany.com/1695307/future-shock-40-what-tofflers-got-right-and-wrong — Fast Company (2010),</w:t>
      </w:r>
      <w:r>
        <w:t xml:space="preserve"> </w:t>
      </w:r>
      <w:r>
        <w:t xml:space="preserve">“</w:t>
      </w:r>
      <w:r>
        <w:t xml:space="preserve">Future Shock at 40</w:t>
      </w:r>
      <w:r>
        <w:t xml:space="preserve">”</w:t>
      </w:r>
      <w:r>
        <w:t xml:space="preserve">: documents the misses, including underwater cities and the population doubling forecast, alongside the hits.</w:t>
      </w:r>
    </w:p>
    <w:p>
      <w:pPr>
        <w:numPr>
          <w:ilvl w:val="0"/>
          <w:numId w:val="1004"/>
        </w:numPr>
        <w:pStyle w:val="Compact"/>
      </w:pPr>
      <w:r>
        <w:t xml:space="preserve">https://www.theglobeandmail.com/arts/books/article-at-50-the-missteps-and-omissions-of-alvin-tofflers-future-shock-have/ — The Globe and Mail (2020),</w:t>
      </w:r>
      <w:r>
        <w:t xml:space="preserve"> </w:t>
      </w:r>
      <w:r>
        <w:t xml:space="preserve">“</w:t>
      </w:r>
      <w:r>
        <w:t xml:space="preserve">At 50, Alvin Toffler’s Future Shock still resonates</w:t>
      </w:r>
      <w:r>
        <w:t xml:space="preserve">”</w:t>
      </w:r>
      <w:r>
        <w:t xml:space="preserve">: notes the predicted throwaway paper clothing and underwater cities that never arrived.</w:t>
      </w:r>
    </w:p>
    <w:p>
      <w:pPr>
        <w:numPr>
          <w:ilvl w:val="0"/>
          <w:numId w:val="1004"/>
        </w:numPr>
        <w:pStyle w:val="Compact"/>
      </w:pPr>
      <w:r>
        <w:t xml:space="preserve">https://archive.org/stream/FutureShock-Toffler/Future-Shock_-_Toffler_djvu.txt — Toffler,</w:t>
      </w:r>
      <w:r>
        <w:t xml:space="preserve"> </w:t>
      </w:r>
      <w:r>
        <w:rPr>
          <w:i/>
        </w:rPr>
        <w:t xml:space="preserve">Future Shock</w:t>
      </w:r>
      <w:r>
        <w:t xml:space="preserve"> </w:t>
      </w:r>
      <w:r>
        <w:t xml:space="preserve">(1970), full text: Part Three structure — Ch. 9</w:t>
      </w:r>
      <w:r>
        <w:t xml:space="preserve"> </w:t>
      </w:r>
      <w:r>
        <w:t xml:space="preserve">“</w:t>
      </w:r>
      <w:r>
        <w:t xml:space="preserve">The Scientific Trajectory</w:t>
      </w:r>
      <w:r>
        <w:t xml:space="preserve">”</w:t>
      </w:r>
      <w:r>
        <w:t xml:space="preserve"> </w:t>
      </w:r>
      <w:r>
        <w:t xml:space="preserve">(incl. </w:t>
      </w:r>
      <w:r>
        <w:t xml:space="preserve">“</w:t>
      </w:r>
      <w:r>
        <w:t xml:space="preserve">The New Atlantis</w:t>
      </w:r>
      <w:r>
        <w:t xml:space="preserve">”</w:t>
      </w:r>
      <w:r>
        <w:t xml:space="preserve">), Ch. 10</w:t>
      </w:r>
      <w:r>
        <w:t xml:space="preserve"> </w:t>
      </w:r>
      <w:r>
        <w:t xml:space="preserve">“</w:t>
      </w:r>
      <w:r>
        <w:t xml:space="preserve">The Experience Makers</w:t>
      </w:r>
      <w:r>
        <w:t xml:space="preserve">”</w:t>
      </w:r>
      <w:r>
        <w:t xml:space="preserve"> </w:t>
      </w:r>
      <w:r>
        <w:t xml:space="preserve">(incl. </w:t>
      </w:r>
      <w:r>
        <w:t xml:space="preserve">“</w:t>
      </w:r>
      <w:r>
        <w:t xml:space="preserve">Experiential Industries,</w:t>
      </w:r>
      <w:r>
        <w:t xml:space="preserve">”</w:t>
      </w:r>
      <w:r>
        <w:t xml:space="preserve"> </w:t>
      </w:r>
      <w:r>
        <w:t xml:space="preserve">“</w:t>
      </w:r>
      <w:r>
        <w:t xml:space="preserve">Simulated Environments,</w:t>
      </w:r>
      <w:r>
        <w:t xml:space="preserve">”</w:t>
      </w:r>
      <w:r>
        <w:t xml:space="preserve"> </w:t>
      </w:r>
      <w:r>
        <w:t xml:space="preserve">“</w:t>
      </w:r>
      <w:r>
        <w:t xml:space="preserve">Live Environments</w:t>
      </w:r>
      <w:r>
        <w:t xml:space="preserve">”</w:t>
      </w:r>
      <w:r>
        <w:t xml:space="preserve">), Ch. 11</w:t>
      </w:r>
      <w:r>
        <w:t xml:space="preserve"> </w:t>
      </w:r>
      <w:r>
        <w:t xml:space="preserve">“</w:t>
      </w:r>
      <w:r>
        <w:t xml:space="preserve">The Fractured Family</w:t>
      </w:r>
      <w:r>
        <w:t xml:space="preserve">”</w:t>
      </w:r>
      <w:r>
        <w:t xml:space="preserve"> </w:t>
      </w:r>
      <w:r>
        <w:t xml:space="preserve">(incl. </w:t>
      </w:r>
      <w:r>
        <w:t xml:space="preserve">“</w:t>
      </w:r>
      <w:r>
        <w:t xml:space="preserve">The Streamlined Family,</w:t>
      </w:r>
      <w:r>
        <w:t xml:space="preserve">”</w:t>
      </w:r>
      <w:r>
        <w:t xml:space="preserve"> </w:t>
      </w:r>
      <w:r>
        <w:t xml:space="preserve">“</w:t>
      </w:r>
      <w:r>
        <w:t xml:space="preserve">Communes and Homosexual Daddies,</w:t>
      </w:r>
      <w:r>
        <w:t xml:space="preserve">”</w:t>
      </w:r>
      <w:r>
        <w:t xml:space="preserve"> </w:t>
      </w:r>
      <w:r>
        <w:t xml:space="preserve">“</w:t>
      </w:r>
      <w:r>
        <w:t xml:space="preserve">Temporary Marriage</w:t>
      </w:r>
      <w:r>
        <w:t xml:space="preserve">”</w:t>
      </w:r>
      <w:r>
        <w:t xml:space="preserve">).</w:t>
      </w:r>
    </w:p>
    <w:p>
      <w:pPr>
        <w:pStyle w:val="Heading1"/>
      </w:pPr>
      <w:bookmarkStart w:id="44" w:name="chapter-4-diversity"/>
      <w:r>
        <w:t xml:space="preserve">Chapter 4 — Diversity</w:t>
      </w:r>
      <w:bookmarkEnd w:id="44"/>
    </w:p>
    <w:p>
      <w:pPr>
        <w:pStyle w:val="Heading2"/>
      </w:pPr>
      <w:bookmarkStart w:id="45" w:name="the-claim-3"/>
      <w:r>
        <w:t xml:space="preserve">The Claim</w:t>
      </w:r>
      <w:bookmarkEnd w:id="45"/>
    </w:p>
    <w:p>
      <w:pPr>
        <w:pStyle w:val="FirstParagraph"/>
      </w:pPr>
      <w:r>
        <w:t xml:space="preserve">Part Four of</w:t>
      </w:r>
      <w:r>
        <w:t xml:space="preserve"> </w:t>
      </w:r>
      <w:r>
        <w:rPr>
          <w:i/>
        </w:rPr>
        <w:t xml:space="preserve">Future Shock</w:t>
      </w:r>
      <w:r>
        <w:t xml:space="preserve"> </w:t>
      </w:r>
      <w:r>
        <w:t xml:space="preserve">is the section where Toffler picked a fight with nearly everyone else writing social criticism in 1970. The reigning diagnosis of that moment — from Herbert Marcuse’s one-dimensional man to the standard-issue complaint about gray flannel conformity — held that industrial society was a homogenizing machine. Mass production meant mass sameness: identical products, identical suburbs, three television networks feeding one national audience, and a citizenry pressed toward a single approved way of life. The intellectuals of the era feared a future in which everyone would be alike. Toffler examined the same patient and recorded the opposite prognosis. Super-industrialism, he argued, does not standardize; it destandardizes. As technology grows more sophisticated, the cost of producing variety collapses, and the machinery that once demanded uniformity begins to spit out difference at scale.</w:t>
      </w:r>
    </w:p>
    <w:p>
      <w:pPr>
        <w:pStyle w:val="BodyText"/>
      </w:pPr>
      <w:r>
        <w:t xml:space="preserve">He assembled his evidence from the shop floor and the newsstand. The Ford Mustang, he noted, was less a car than a menu — a base platform the buyer configured from options until, as Ford’s own advertising put it, the customer designed it himself. Cigarettes, gasoline, soaps, and breakfast foods were splintering into proliferating brands and sub-brands. And the pattern extended beyond goods. The great general-interest magazines were dying even as he wrote — the</w:t>
      </w:r>
      <w:r>
        <w:t xml:space="preserve"> </w:t>
      </w:r>
      <w:r>
        <w:rPr>
          <w:i/>
        </w:rPr>
        <w:t xml:space="preserve">Saturday Evening Post</w:t>
      </w:r>
      <w:r>
        <w:t xml:space="preserve"> </w:t>
      </w:r>
      <w:r>
        <w:t xml:space="preserve">folded in 1969,</w:t>
      </w:r>
      <w:r>
        <w:t xml:space="preserve"> </w:t>
      </w:r>
      <w:r>
        <w:rPr>
          <w:i/>
        </w:rPr>
        <w:t xml:space="preserve">Look</w:t>
      </w:r>
      <w:r>
        <w:t xml:space="preserve"> </w:t>
      </w:r>
      <w:r>
        <w:t xml:space="preserve">followed in October 1971, and the weekly</w:t>
      </w:r>
      <w:r>
        <w:t xml:space="preserve"> </w:t>
      </w:r>
      <w:r>
        <w:rPr>
          <w:i/>
        </w:rPr>
        <w:t xml:space="preserve">Life</w:t>
      </w:r>
      <w:r>
        <w:t xml:space="preserve"> </w:t>
      </w:r>
      <w:r>
        <w:t xml:space="preserve">printed its final issue on December 29, 1972 — while special-interest publications for surfers, skiers, and hot-rodders multiplied. Radio had already fractured into format niches. Toffler read these not as isolated business stories but as one process: the mass media, the defining institution of mass society, were beginning to de-massify.</w:t>
      </w:r>
    </w:p>
    <w:p>
      <w:pPr>
        <w:pStyle w:val="BodyText"/>
      </w:pPr>
      <w:r>
        <w:t xml:space="preserve">The deepest layer of the claim concerned identity. As the society of the future diversified, he argued, people would increasingly assemble their sense of self from what he called subcults — voluntary tribes organized around occupation, hobby, or shared style, from skydivers to computer programmers. Life-style itself would become a kind of super-product, the most consequential purchase a person makes: one shops among lifestyles the way one shops among detergents. And here Toffler planted the warning that gives this chapter its stakes.</w:t>
      </w:r>
      <w:r>
        <w:t xml:space="preserve"> </w:t>
      </w:r>
      <w:r>
        <w:t xml:space="preserve">“</w:t>
      </w:r>
      <w:r>
        <w:t xml:space="preserve">The people of the future,</w:t>
      </w:r>
      <w:r>
        <w:t xml:space="preserve">”</w:t>
      </w:r>
      <w:r>
        <w:t xml:space="preserve"> </w:t>
      </w:r>
      <w:r>
        <w:t xml:space="preserve">he wrote,</w:t>
      </w:r>
      <w:r>
        <w:t xml:space="preserve"> </w:t>
      </w:r>
      <w:r>
        <w:t xml:space="preserve">“</w:t>
      </w:r>
      <w:r>
        <w:t xml:space="preserve">may suffer not from an absence of choice, but from a paralyzing surfeit of it. They may turn out to be victims of that peculiarly super-industrial dilemma: overchoice</w:t>
      </w:r>
      <w:r>
        <w:t xml:space="preserve">”</w:t>
      </w:r>
      <w:r>
        <w:t xml:space="preserve"> </w:t>
      </w:r>
      <w:r>
        <w:t xml:space="preserve">— the point at which the advantages of diversity are cancelled by the complexity of choosing.</w:t>
      </w:r>
    </w:p>
    <w:p>
      <w:pPr>
        <w:pStyle w:val="BodyText"/>
      </w:pPr>
      <w:r>
        <w:t xml:space="preserve">Steelmanned, Part Four makes three testable predictions. Material choice will proliferate beyond anything the mass-production era imagined. The mass audience will fragment into niche audiences served by de-massified media. And identity will migrate from inherited categories to chosen tribes, with a creator class producing culture for each of them. Note what a genuinely risky bet this was: in 1970 every trend line the critics cited pointed toward consolidation. We can now order the tests. We have supermarket shelf counts going back five decades, audience measurement of a precision Nielsen could only dream of in 1971, and a full census of the niche tribes of the internet. The workup follows.</w:t>
      </w:r>
    </w:p>
    <w:p>
      <w:pPr>
        <w:pStyle w:val="Heading2"/>
      </w:pPr>
      <w:bookmarkStart w:id="46" w:name="the-tests-3"/>
      <w:r>
        <w:t xml:space="preserve">The Tests</w:t>
      </w:r>
      <w:bookmarkEnd w:id="46"/>
    </w:p>
    <w:p>
      <w:pPr>
        <w:pStyle w:val="FirstParagraph"/>
      </w:pPr>
      <w:r>
        <w:t xml:space="preserve">The first test counts the shelf. The Food Marketing Institute has tracked the contents of the American supermarket for decades, and its series is the cleanest available measure of everyday consumer choice. In 1975 the average supermarket carried 8,948 distinct items. By 2008 that figure had swollen to nearly 47,000 (FMI, via Consumer Reports, 2014) — a five-fold multiplication of choice in the one store every household visits. The same grocery run that confronted Toffler’s reader with under nine thousand decisions confronts ours with tens of thousands, and the supermarket is the modest case. The digital shelf abolished the constraint of physical space altogether: Amazon’s marketplace now lists on the order of 350 million products (Capital One Shopping Research, 2025), a catalog roughly forty thousand times deeper than the 1975 supermarket. Culture shows the same curve. Spotify’s library passed 100 million tracks (Spotify, via Demand Sage, 2025), and Luminate, the industry’s sales-tracking authority, counted about 120,000 new tracks arriving on streaming services every day in early 2023 (Luminate, via Music Business Worldwide, 2023) — more new recordings in a single day than a well-stocked 1970 record store held in total. Video is the extreme case: Gracenote, Nielsen’s metadata arm, counted more than 817,000 unique program titles available across U.S. television and streaming services in February 2022, up from 646,000 barely two years earlier (Nielsen State of Play, 2022). On the first prediction the instruments do not equivocate. The choice explosion happened, and it exceeded the forecast.</w:t>
      </w:r>
    </w:p>
    <w:p>
      <w:pPr>
        <w:pStyle w:val="BodyText"/>
      </w:pPr>
      <w:r>
        <w:t xml:space="preserve">One reading on that panel deserves a closer look, because it runs briefly the other way. After peaking near 47,000–50,000 items in 2008, the average supermarket’s count fell, landing around 31,800 items by 2024 (FMI, 2024). Retailers discovered — through hard-discounter competition and their own sales data — that past a certain point additional variety costs more than it sells. The physical shelf, in other words, hit the overchoice ceiling and pulled back. Hold that thought; it becomes important when we reach the algorithms, because the digital shelf could not pull back, and had to solve the same problem another way.</w:t>
      </w:r>
    </w:p>
    <w:p>
      <w:pPr>
        <w:pStyle w:val="BodyText"/>
      </w:pPr>
      <w:r>
        <w:t xml:space="preserve">The second test measures the mass audience, and this is where the 1970 baseline is most vivid. In the season</w:t>
      </w:r>
      <w:r>
        <w:t xml:space="preserve"> </w:t>
      </w:r>
      <w:r>
        <w:rPr>
          <w:i/>
        </w:rPr>
        <w:t xml:space="preserve">Future Shock</w:t>
      </w:r>
      <w:r>
        <w:t xml:space="preserve"> </w:t>
      </w:r>
      <w:r>
        <w:t xml:space="preserve">climbed the bestseller lists, television was the most concentrated cultural instrument in human history. Through the late 1970s, more than 90 percent of the prime-time viewing audience was tuned to ABC, CBS, or NBC (Britannica). The top program of the 1971–72 season,</w:t>
      </w:r>
      <w:r>
        <w:t xml:space="preserve"> </w:t>
      </w:r>
      <w:r>
        <w:rPr>
          <w:i/>
        </w:rPr>
        <w:t xml:space="preserve">All in the Family</w:t>
      </w:r>
      <w:r>
        <w:t xml:space="preserve">, drew a Nielsen household rating of 34.0 (Nielsen, via Brooks &amp; Marsh) — on an average night, one in three American homes with a television was watching the same fictional family argue in Queens. Now read the modern chart. The most-watched scripted series of the 2024–25 season, CBS’s</w:t>
      </w:r>
      <w:r>
        <w:t xml:space="preserve"> </w:t>
      </w:r>
      <w:r>
        <w:rPr>
          <w:i/>
        </w:rPr>
        <w:t xml:space="preserve">Tracker</w:t>
      </w:r>
      <w:r>
        <w:t xml:space="preserve">, averaged about 11 million viewers (TVLine, 2025) — in a country of well over 120 million television households, a single-digit share where Archie Bunker commanded a third. The mass entertainment audience has not merely eroded; it has divided by roughly a factor of five at the very top of the ratings, while the long tail beneath it stretched toward infinity. In 2022, American television produced 599 original scripted series (FX Research, via Variety, 2023), against the few dozen a three-network schedule could hold. And in May 2025 the transition passed its formal milestone: streaming accounted for 44.8 percent of all U.S. television viewing, exceeding broadcast (20.1 percent) and cable (24.1 percent) combined for the first time (Nielsen, The Gauge, 2025). The single largest</w:t>
      </w:r>
      <w:r>
        <w:t xml:space="preserve"> </w:t>
      </w:r>
      <w:r>
        <w:t xml:space="preserve">“</w:t>
      </w:r>
      <w:r>
        <w:t xml:space="preserve">channel</w:t>
      </w:r>
      <w:r>
        <w:t xml:space="preserve">”</w:t>
      </w:r>
      <w:r>
        <w:t xml:space="preserve"> </w:t>
      </w:r>
      <w:r>
        <w:t xml:space="preserve">in America is now YouTube, at 12.5 percent of all television viewing (Nielsen, 2025) — and YouTube is not a channel at all but tens of millions of them, no two viewers seeing the same schedule. Add the 2.6 million podcasts hosted on Apple Podcasts alone (Apple, 2025) and the roughly 500 hours of video uploaded to YouTube every minute (YouTube, via industry trackers, 2025), and Toffler’s word for the process — de-massification — reads less like a prediction than a caption.</w:t>
      </w:r>
    </w:p>
    <w:p>
      <w:pPr>
        <w:pStyle w:val="BodyText"/>
      </w:pPr>
      <w:r>
        <w:t xml:space="preserve">The third test looks for the subcults. Toffler could point in 1970 to surfers and skydivers; the internet built a registry. Reddit, a platform organized explicitly as a federation of interest tribes, hosts more than 138,000 active subreddits (Demand Sage, 2026) — over a hundred thousand functioning communities, each with its own vocabulary, status hierarchy, and elders, precisely the sociological structure Toffler described. Discord, which organizes social life into invitation-based</w:t>
      </w:r>
      <w:r>
        <w:t xml:space="preserve"> </w:t>
      </w:r>
      <w:r>
        <w:t xml:space="preserve">“</w:t>
      </w:r>
      <w:r>
        <w:t xml:space="preserve">servers,</w:t>
      </w:r>
      <w:r>
        <w:t xml:space="preserve">”</w:t>
      </w:r>
      <w:r>
        <w:t xml:space="preserve"> </w:t>
      </w:r>
      <w:r>
        <w:t xml:space="preserve">counts more than 30 million of them (Statista, 2026), the majority formed around gaming subcultures. And the economic layer he intuited — lifestyle as a product someone manufactures — now has a market size. Goldman Sachs Research counts roughly 50 million people worldwide earning money as content creators and projects the creator economy to grow from about $250 billion to $480 billion by 2027 (Goldman Sachs, 2023). Half a trillion dollars is the market’s own estimate of what it is worth to supply every subcult with its own celebrities, its own media, and its own merchandise. The Mustang options list has become the operating system of identity.</w:t>
      </w:r>
    </w:p>
    <w:p>
      <w:pPr>
        <w:pStyle w:val="BodyText"/>
      </w:pPr>
      <w:r>
        <w:t xml:space="preserve">The fourth test examines what Toffler did not predict: how a society actually navigates 817,000 titles and 350 million products. His warning about overchoice assumed the choosing would remain a human act. The market found that assumption unprofitable. Netflix’s own researchers reported in 2016 that about 80 percent of hours streamed on the platform originate from its recommendation system rather than from deliberate search, and estimated the system’s value at more than $1 billion a year (Gomez-Uribe &amp; Hunt, ACM Transactions on Management Information Systems, 2016). Spotify algorithmically assembles each listener’s discovery playlists from its hundred-million-track vault; TikTok dispensed with chosen subscriptions almost entirely, replacing the schedule not with a menu but with an inference. The economic logic is straightforward. Once the shelf became infinite, choice itself became the scarce resource, and a new industry arose to perform it on the consumer’s behalf. Nielsen’s first State of Play survey found 46 percent of American viewers already felt overwhelmed by the proliferation of services and content (Nielsen, 2022) — the physical supermarket answered that condition by cutting SKUs, but the infinite shelf answered it by delegating the decision to the machine. Overchoice, exactly as diagnosed, arrived on schedule; what arrived with it was a prosthetic chooser Toffler never imagined.</w:t>
      </w:r>
    </w:p>
    <w:p>
      <w:pPr>
        <w:pStyle w:val="Heading2"/>
      </w:pPr>
      <w:bookmarkStart w:id="47" w:name="the-finding-3"/>
      <w:r>
        <w:t xml:space="preserve">The Finding</w:t>
      </w:r>
      <w:bookmarkEnd w:id="47"/>
    </w:p>
    <w:p>
      <w:pPr>
        <w:pStyle w:val="FirstParagraph"/>
      </w:pPr>
      <w:r>
        <w:t xml:space="preserve">Part Four is the strongest section of the chart so far, and it is worth pausing on how contrarian it was. The consensus intellectuals of 1970 predicted convergence; Toffler predicted fragmentation, and fragmentation is what the instruments show — in the supermarket series, the collapse of the three-network audience, the census of subreddits, and a half-trillion-dollar industry manufacturing niche identity. He even called the mechanism correctly: it was falling production and distribution costs, not changing tastes, that destandardized the culture, exactly as his shop-floor logic implied. When the marginal cost of another product, another channel, or another community approached zero, variety stopped being expensive and sameness stopped being necessary. The diagnosis of overchoice, dismissed by some early reviewers as a curiosity, now reads as the defining consumer condition of the century — nearly half of viewers telling Nielsen they are overwhelmed is the patient reporting the predicted symptom in almost the predicted words.</w:t>
      </w:r>
    </w:p>
    <w:p>
      <w:pPr>
        <w:pStyle w:val="BodyText"/>
      </w:pPr>
      <w:r>
        <w:t xml:space="preserve">What he missed sits one layer deeper, and it is the miss that matters most for the rest of this book. Toffler assumed that a de-massified society would stay de-massified — that fragmentation was the end state. He did not foresee that overchoice itself would summon a new intermediary: the recommendation algorithm, a private, commercial, largely invisible layer that re-aggregates the fragmented audience one person at a time. The three networks standardized what everyone watched; the algorithm personalizes what each person watches, but the power to compose the schedule has re-concentrated into a handful of systems arguably narrower than the three networks ever were. A viewer in 1971 knew that thirty million households shared the broadcast and knew who chose it. A viewer today faces a feed assembled by an optimization process whose objective is engagement, not diversity — and 80 percent of the time, takes what it offers. The de-massified society got its infinite shelf, then quietly outsourced the walking of the aisles. Whether that constitutes a cure for overchoice or a new pathology of its own is a question we bank for the back half of this review, where the algorithmic turn becomes the central character.</w:t>
      </w:r>
    </w:p>
    <w:p>
      <w:pPr>
        <w:pStyle w:val="BodyText"/>
      </w:pPr>
      <w:r>
        <w:t xml:space="preserve">There is also an honest asterisk on the supply side itself: where physical constraints survive, so does standardization. The supermarket’s retreat from 47,000 items to 31,800 shows the destandardization thesis holds only where shelf space is free. Toffler’s future arrived in full only in the world of bits — a boundary line this review has now met twice, and will meet again.</w:t>
      </w:r>
    </w:p>
    <w:p>
      <w:pPr>
        <w:pStyle w:val="Heading2"/>
      </w:pPr>
      <w:bookmarkStart w:id="48" w:name="verdict-3"/>
      <w:r>
        <w:t xml:space="preserve">Verdict</w:t>
      </w:r>
      <w:bookmarkEnd w:id="4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claim (Part Four)</w:t>
            </w:r>
          </w:p>
        </w:tc>
        <w:tc>
          <w:tcPr>
            <w:tcBorders>
              <w:bottom w:val="single"/>
            </w:tcBorders>
            <w:vAlign w:val="bottom"/>
          </w:tcPr>
          <w:p>
            <w:pPr>
              <w:pStyle w:val="Compact"/>
              <w:jc w:val="left"/>
            </w:pPr>
            <w:r>
              <w:t xml:space="preserve">The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Goods will destandardize: material choice will proliferate, not homogenize</w:t>
            </w:r>
          </w:p>
        </w:tc>
        <w:tc>
          <w:p>
            <w:pPr>
              <w:pStyle w:val="Compact"/>
              <w:jc w:val="left"/>
            </w:pPr>
            <w:r>
              <w:t xml:space="preserve">Average supermarket items rose from 8,948 (1975) to ~47,000 (2008); Amazon lists ~350 million products; Spotify passed 100 million tracks with ~120,000 new tracks/day; 817,000+ unique video titles by 2022</w:t>
            </w:r>
          </w:p>
        </w:tc>
        <w:tc>
          <w:p>
            <w:pPr>
              <w:pStyle w:val="Compact"/>
              <w:jc w:val="left"/>
            </w:pPr>
            <w:r>
              <w:t xml:space="preserve">Confirmed</w:t>
            </w:r>
          </w:p>
        </w:tc>
        <w:tc>
          <w:p>
            <w:pPr>
              <w:pStyle w:val="Compact"/>
              <w:jc w:val="left"/>
            </w:pPr>
            <w:r>
              <w:t xml:space="preserve">FMI via Consumer Reports (2014); Capital One Shopping (2025); Luminate via MBW (2023); Nielsen State of Play (2022)</w:t>
            </w:r>
          </w:p>
        </w:tc>
      </w:tr>
      <w:tr>
        <w:tc>
          <w:p>
            <w:pPr>
              <w:pStyle w:val="Compact"/>
              <w:jc w:val="left"/>
            </w:pPr>
            <w:r>
              <w:t xml:space="preserve">The mass media will de-massify into niche media</w:t>
            </w:r>
          </w:p>
        </w:tc>
        <w:tc>
          <w:p>
            <w:pPr>
              <w:pStyle w:val="Compact"/>
              <w:jc w:val="left"/>
            </w:pPr>
            <w:r>
              <w:t xml:space="preserve">Three networks held 90%+ of prime time in the late 1970s;</w:t>
            </w:r>
            <w:r>
              <w:t xml:space="preserve"> </w:t>
            </w:r>
            <w:r>
              <w:rPr>
                <w:i/>
              </w:rPr>
              <w:t xml:space="preserve">All in the Family</w:t>
            </w:r>
            <w:r>
              <w:t xml:space="preserve"> </w:t>
            </w:r>
            <w:r>
              <w:t xml:space="preserve">drew a 34.0 household rating (1971–72) vs. today’s top scripted show at ~11M viewers; 599 scripted originals in 2022; streaming (44.8%) passed broadcast+cable combined in May 2025</w:t>
            </w:r>
          </w:p>
        </w:tc>
        <w:tc>
          <w:p>
            <w:pPr>
              <w:pStyle w:val="Compact"/>
              <w:jc w:val="left"/>
            </w:pPr>
            <w:r>
              <w:t xml:space="preserve">Confirmed</w:t>
            </w:r>
          </w:p>
        </w:tc>
        <w:tc>
          <w:p>
            <w:pPr>
              <w:pStyle w:val="Compact"/>
              <w:jc w:val="left"/>
            </w:pPr>
            <w:r>
              <w:t xml:space="preserve">Britannica; Nielsen via Brooks &amp; Marsh; TVLine (2025); FX via Variety (2023); Nielsen Gauge (2025)</w:t>
            </w:r>
          </w:p>
        </w:tc>
      </w:tr>
      <w:tr>
        <w:tc>
          <w:p>
            <w:pPr>
              <w:pStyle w:val="Compact"/>
              <w:jc w:val="left"/>
            </w:pPr>
            <w:r>
              <w:t xml:space="preserve">Identity will organize into chosen</w:t>
            </w:r>
            <w:r>
              <w:t xml:space="preserve"> </w:t>
            </w:r>
            <w:r>
              <w:t xml:space="preserve">“</w:t>
            </w:r>
            <w:r>
              <w:t xml:space="preserve">subcults,</w:t>
            </w:r>
            <w:r>
              <w:t xml:space="preserve">”</w:t>
            </w:r>
            <w:r>
              <w:t xml:space="preserve"> </w:t>
            </w:r>
            <w:r>
              <w:t xml:space="preserve">with lifestyle as a product</w:t>
            </w:r>
          </w:p>
        </w:tc>
        <w:tc>
          <w:p>
            <w:pPr>
              <w:pStyle w:val="Compact"/>
              <w:jc w:val="left"/>
            </w:pPr>
            <w:r>
              <w:t xml:space="preserve">138,000+ active subreddits; 30M+ Discord servers; ~50 million paid creators; creator economy ~$250B, projected $480B by 2027</w:t>
            </w:r>
          </w:p>
        </w:tc>
        <w:tc>
          <w:p>
            <w:pPr>
              <w:pStyle w:val="Compact"/>
              <w:jc w:val="left"/>
            </w:pPr>
            <w:r>
              <w:t xml:space="preserve">Confirmed</w:t>
            </w:r>
          </w:p>
        </w:tc>
        <w:tc>
          <w:p>
            <w:pPr>
              <w:pStyle w:val="Compact"/>
              <w:jc w:val="left"/>
            </w:pPr>
            <w:r>
              <w:t xml:space="preserve">Demand Sage (2026); Statista (2026); Goldman Sachs Research (2023)</w:t>
            </w:r>
          </w:p>
        </w:tc>
      </w:tr>
      <w:tr>
        <w:tc>
          <w:p>
            <w:pPr>
              <w:pStyle w:val="Compact"/>
              <w:jc w:val="left"/>
            </w:pPr>
            <w:r>
              <w:t xml:space="preserve">Overchoice: a</w:t>
            </w:r>
            <w:r>
              <w:t xml:space="preserve"> </w:t>
            </w:r>
            <w:r>
              <w:t xml:space="preserve">“</w:t>
            </w:r>
            <w:r>
              <w:t xml:space="preserve">paralyzing surfeit</w:t>
            </w:r>
            <w:r>
              <w:t xml:space="preserve">”</w:t>
            </w:r>
            <w:r>
              <w:t xml:space="preserve"> </w:t>
            </w:r>
            <w:r>
              <w:t xml:space="preserve">of options will burden the chooser</w:t>
            </w:r>
          </w:p>
        </w:tc>
        <w:tc>
          <w:p>
            <w:pPr>
              <w:pStyle w:val="Compact"/>
              <w:jc w:val="left"/>
            </w:pPr>
            <w:r>
              <w:t xml:space="preserve">46% of U.S. viewers report feeling overwhelmed by streaming choice; supermarkets themselves cut assortment from ~47,000 items (2008) to ~31,800 (2024); psychological evidence examined in Ch. 5</w:t>
            </w:r>
          </w:p>
        </w:tc>
        <w:tc>
          <w:p>
            <w:pPr>
              <w:pStyle w:val="Compact"/>
              <w:jc w:val="left"/>
            </w:pPr>
            <w:r>
              <w:t xml:space="preserve">Confirmed (supply side; psychology pending)</w:t>
            </w:r>
          </w:p>
        </w:tc>
        <w:tc>
          <w:p>
            <w:pPr>
              <w:pStyle w:val="Compact"/>
              <w:jc w:val="left"/>
            </w:pPr>
            <w:r>
              <w:t xml:space="preserve">Nielsen State of Play (2022); FMI (2024)</w:t>
            </w:r>
          </w:p>
        </w:tc>
      </w:tr>
      <w:tr>
        <w:tc>
          <w:p>
            <w:pPr>
              <w:pStyle w:val="Compact"/>
              <w:jc w:val="left"/>
            </w:pPr>
            <w:r>
              <w:t xml:space="preserve">Fragmentation is the end state; individuals will navigate the diversity themselves</w:t>
            </w:r>
          </w:p>
        </w:tc>
        <w:tc>
          <w:p>
            <w:pPr>
              <w:pStyle w:val="Compact"/>
              <w:jc w:val="left"/>
            </w:pPr>
            <w:r>
              <w:t xml:space="preserve">~80% of Netflix viewing originates from algorithmic recommendation; YouTube alone is 12.5% of all TV viewing via personalized feeds; choice re-intermediated by a few recommender systems</w:t>
            </w:r>
          </w:p>
        </w:tc>
        <w:tc>
          <w:p>
            <w:pPr>
              <w:pStyle w:val="Compact"/>
              <w:jc w:val="left"/>
            </w:pPr>
            <w:r>
              <w:t xml:space="preserve">Refuted</w:t>
            </w:r>
          </w:p>
        </w:tc>
        <w:tc>
          <w:p>
            <w:pPr>
              <w:pStyle w:val="Compact"/>
              <w:jc w:val="left"/>
            </w:pPr>
            <w:r>
              <w:t xml:space="preserve">Gomez-Uribe &amp; Hunt, ACM TMIS (2016); Nielsen Gauge (2025)</w:t>
            </w:r>
          </w:p>
        </w:tc>
      </w:tr>
    </w:tbl>
    <w:p>
      <w:pPr>
        <w:pStyle w:val="BodyText"/>
      </w:pPr>
      <w:r>
        <w:t xml:space="preserve">Every test in this chapter measured the world outside the patient: the shelves, the channels, the tribes. All of them confirm that the surfeit Toffler predicted was delivered, in quantities beyond his arithmetic. But overchoice was never really a claim about supply — it was a claim about what a paralyzing surfeit does to the person standing in front of it. Toffler asserted that human decision-making would buckle under the load; he could not test it, because in 1970 no one had. Since then, the experiment has been run — famously, with jam jars on a supermarket sample table — and then run again, hundreds of times, with results messier and more interesting than either Toffler or his popularizers would have it. The next chapter reopens the psychological file: what the choice explosion actually did to the chooser, and where the limits of adaptability truly lie.</w:t>
      </w:r>
    </w:p>
    <w:p>
      <w:pPr>
        <w:pStyle w:val="Heading2"/>
      </w:pPr>
      <w:bookmarkStart w:id="49" w:name="sources-4"/>
      <w:r>
        <w:t xml:space="preserve">Sources</w:t>
      </w:r>
      <w:bookmarkEnd w:id="49"/>
    </w:p>
    <w:p>
      <w:pPr>
        <w:numPr>
          <w:ilvl w:val="0"/>
          <w:numId w:val="1005"/>
        </w:numPr>
        <w:pStyle w:val="Compact"/>
      </w:pPr>
      <w:r>
        <w:t xml:space="preserve">https://www.consumerreports.org/cro/magazine/2014/03/too-many-product-choices-in-supermarkets/index.htm — Consumer Reports (2014), citing Food Marketing Institute data: average supermarket carried 8,948 items in 1975 vs. nearly 47,000 by 2008.</w:t>
      </w:r>
    </w:p>
    <w:p>
      <w:pPr>
        <w:numPr>
          <w:ilvl w:val="0"/>
          <w:numId w:val="1005"/>
        </w:numPr>
        <w:pStyle w:val="Compact"/>
      </w:pPr>
      <w:r>
        <w:t xml:space="preserve">https://www.fmi.org/our-research/food-industry-facts — FMI Food Industry Facts (2024): average supermarket carries roughly 31,800 items today; supports the post-2008 assortment decline.</w:t>
      </w:r>
    </w:p>
    <w:p>
      <w:pPr>
        <w:numPr>
          <w:ilvl w:val="0"/>
          <w:numId w:val="1005"/>
        </w:numPr>
        <w:pStyle w:val="Compact"/>
      </w:pPr>
      <w:r>
        <w:t xml:space="preserve">https://capitaloneshopping.com/research/amazon-marketplace-statistics/ — Capital One Shopping Research (2025): Amazon marketplace sellers list approximately 350 million products.</w:t>
      </w:r>
    </w:p>
    <w:p>
      <w:pPr>
        <w:numPr>
          <w:ilvl w:val="0"/>
          <w:numId w:val="1005"/>
        </w:numPr>
        <w:pStyle w:val="Compact"/>
      </w:pPr>
      <w:r>
        <w:t xml:space="preserve">https://www.demandsage.com/spotify-stats/ — Demand Sage (2025), compiling Spotify company data: catalog exceeds 100 million tracks.</w:t>
      </w:r>
    </w:p>
    <w:p>
      <w:pPr>
        <w:numPr>
          <w:ilvl w:val="0"/>
          <w:numId w:val="1005"/>
        </w:numPr>
        <w:pStyle w:val="Compact"/>
      </w:pPr>
      <w:r>
        <w:t xml:space="preserve">https://www.musicbusinessworldwide.com/there-are-now-120000-new-tracks-hitting-music-streaming-services-each-day/ — Music Business Worldwide (2023), reporting Luminate data: ~120,000 new tracks uploaded to streaming services per day in Q1 2023.</w:t>
      </w:r>
    </w:p>
    <w:p>
      <w:pPr>
        <w:numPr>
          <w:ilvl w:val="0"/>
          <w:numId w:val="1005"/>
        </w:numPr>
        <w:pStyle w:val="Compact"/>
      </w:pPr>
      <w:r>
        <w:t xml:space="preserve">https://gracenote.com/newsroom/nielsens-state-of-play-report-reveals-that-streaming-is-the-future-but-consumers-are-currently-overwhelmed-by-choice/ — Gracenote/Nielsen State of Play (April 2022): 817,000+ unique program titles across U.S. TV and streaming as of February 2022, up from 646,000+ in December 2019; 46% of viewers feel overwhelmed by the growing number of services and platforms.</w:t>
      </w:r>
    </w:p>
    <w:p>
      <w:pPr>
        <w:numPr>
          <w:ilvl w:val="0"/>
          <w:numId w:val="1005"/>
        </w:numPr>
        <w:pStyle w:val="Compact"/>
      </w:pPr>
      <w:r>
        <w:t xml:space="preserve">https://www.britannica.com/art/television-in-the-United-States/The-era-of-the-miniseries — Britannica,</w:t>
      </w:r>
      <w:r>
        <w:t xml:space="preserve"> </w:t>
      </w:r>
      <w:r>
        <w:t xml:space="preserve">“</w:t>
      </w:r>
      <w:r>
        <w:t xml:space="preserve">Television in the United States</w:t>
      </w:r>
      <w:r>
        <w:t xml:space="preserve">”</w:t>
      </w:r>
      <w:r>
        <w:t xml:space="preserve">: in the late 1970s more than 90 percent of the prime-time audience watched ABC, CBS, or NBC.</w:t>
      </w:r>
    </w:p>
    <w:p>
      <w:pPr>
        <w:numPr>
          <w:ilvl w:val="0"/>
          <w:numId w:val="1005"/>
        </w:numPr>
        <w:pStyle w:val="Compact"/>
      </w:pPr>
      <w:r>
        <w:t xml:space="preserve">https://en.wikipedia.org/wiki/Top-rated_United_States_television_programs_of_1971%E2%80%9372 — Nielsen season ratings via Brooks &amp; Marsh,</w:t>
      </w:r>
      <w:r>
        <w:t xml:space="preserve"> </w:t>
      </w:r>
      <w:r>
        <w:rPr>
          <w:i/>
        </w:rPr>
        <w:t xml:space="preserve">The Complete Directory to Prime Time Network and Cable TV Shows</w:t>
      </w:r>
      <w:r>
        <w:t xml:space="preserve">:</w:t>
      </w:r>
      <w:r>
        <w:t xml:space="preserve"> </w:t>
      </w:r>
      <w:r>
        <w:rPr>
          <w:i/>
        </w:rPr>
        <w:t xml:space="preserve">All in the Family</w:t>
      </w:r>
      <w:r>
        <w:t xml:space="preserve"> </w:t>
      </w:r>
      <w:r>
        <w:t xml:space="preserve">season household rating of 34.0, the highest of 1971–72.</w:t>
      </w:r>
    </w:p>
    <w:p>
      <w:pPr>
        <w:numPr>
          <w:ilvl w:val="0"/>
          <w:numId w:val="1005"/>
        </w:numPr>
        <w:pStyle w:val="Compact"/>
      </w:pPr>
      <w:r>
        <w:t xml:space="preserve">https://www.tvline.com/ratings/most-watched-tv-shows-broadcast-2024-2025-1235373429/ — TVLine (2025):</w:t>
      </w:r>
      <w:r>
        <w:t xml:space="preserve"> </w:t>
      </w:r>
      <w:r>
        <w:rPr>
          <w:i/>
        </w:rPr>
        <w:t xml:space="preserve">Tracker</w:t>
      </w:r>
      <w:r>
        <w:t xml:space="preserve"> </w:t>
      </w:r>
      <w:r>
        <w:t xml:space="preserve">was the most-watched scripted broadcast series of 2024–25, averaging about 11 million viewers.</w:t>
      </w:r>
    </w:p>
    <w:p>
      <w:pPr>
        <w:numPr>
          <w:ilvl w:val="0"/>
          <w:numId w:val="1005"/>
        </w:numPr>
        <w:pStyle w:val="Compact"/>
      </w:pPr>
      <w:r>
        <w:t xml:space="preserve">https://variety.com/2023/tv/news/peak-tv-tally-599-original-scripted-series-aired-2022-1235487593/ — Variety (2023), reporting FX Research: 599 original scripted series aired in the U.S. in 2022, a record.</w:t>
      </w:r>
    </w:p>
    <w:p>
      <w:pPr>
        <w:numPr>
          <w:ilvl w:val="0"/>
          <w:numId w:val="1005"/>
        </w:numPr>
        <w:pStyle w:val="Compact"/>
      </w:pPr>
      <w:r>
        <w:t xml:space="preserve">https://www.nielsen.com/news-center/2025/streaming-reaches-historic-tv-milestone-eclipses-combined-broadcast-and-cable-viewing-for-first-time/ — Nielsen, The Gauge (June 2025): in May 2025 streaming took 44.8% of total TV viewing, exceeding broadcast (20.1%) and cable (24.1%) combined for the first time; YouTube alone reached 12.5% of all TV viewing.</w:t>
      </w:r>
    </w:p>
    <w:p>
      <w:pPr>
        <w:numPr>
          <w:ilvl w:val="0"/>
          <w:numId w:val="1005"/>
        </w:numPr>
        <w:pStyle w:val="Compact"/>
      </w:pPr>
      <w:r>
        <w:t xml:space="preserve">https://www.apple.com/newsroom/2026/01/2025-marked-a-record-breaking-year-for-apple-services/ — Apple Newsroom (2026): Apple Podcasts hosts more than 2.6 million shows and 95 million episodes.</w:t>
      </w:r>
    </w:p>
    <w:p>
      <w:pPr>
        <w:numPr>
          <w:ilvl w:val="0"/>
          <w:numId w:val="1005"/>
        </w:numPr>
        <w:pStyle w:val="Compact"/>
      </w:pPr>
      <w:r>
        <w:t xml:space="preserve">https://www.demandsage.com/reddit-statistics/ — Demand Sage (2026): more than 138,000 active subreddits (2.2M+ total created).</w:t>
      </w:r>
    </w:p>
    <w:p>
      <w:pPr>
        <w:numPr>
          <w:ilvl w:val="0"/>
          <w:numId w:val="1005"/>
        </w:numPr>
        <w:pStyle w:val="Compact"/>
      </w:pPr>
      <w:r>
        <w:t xml:space="preserve">https://www.statista.com/statistics/1429573/discord-number-of-servers-by-category/ — Statista (2026): more than 32 million Discord servers across tracked categories, the majority gaming communities.</w:t>
      </w:r>
    </w:p>
    <w:p>
      <w:pPr>
        <w:numPr>
          <w:ilvl w:val="0"/>
          <w:numId w:val="1005"/>
        </w:numPr>
        <w:pStyle w:val="Compact"/>
      </w:pPr>
      <w:r>
        <w:t xml:space="preserve">https://www.goldmansachs.com/insights/articles/the-creator-economy-could-approach-half-a-trillion-dollars-by-2027 — Goldman Sachs Research (2023): ~50 million global creators; creator economy total addressable market ~$250 billion, projected to reach $480 billion by 2027.</w:t>
      </w:r>
    </w:p>
    <w:p>
      <w:pPr>
        <w:numPr>
          <w:ilvl w:val="0"/>
          <w:numId w:val="1005"/>
        </w:numPr>
        <w:pStyle w:val="Compact"/>
      </w:pPr>
      <w:r>
        <w:t xml:space="preserve">https://www.researchgate.net/figure/Statistics-show-that-up-to-80-of-watches-on-Netflix-come-from-recommendations-and-the_fig1_386513037 — Citing Gomez-Uribe &amp; Hunt,</w:t>
      </w:r>
      <w:r>
        <w:t xml:space="preserve"> </w:t>
      </w:r>
      <w:r>
        <w:t xml:space="preserve">“</w:t>
      </w:r>
      <w:r>
        <w:t xml:space="preserve">The Netflix Recommender System</w:t>
      </w:r>
      <w:r>
        <w:t xml:space="preserve">”</w:t>
      </w:r>
      <w:r>
        <w:t xml:space="preserve"> </w:t>
      </w:r>
      <w:r>
        <w:t xml:space="preserve">(ACM Transactions on Management Information Systems, 2016): about 80% of Netflix hours streamed originate from recommendations; system valued at over $1 billion/year.</w:t>
      </w:r>
    </w:p>
    <w:p>
      <w:pPr>
        <w:numPr>
          <w:ilvl w:val="0"/>
          <w:numId w:val="1005"/>
        </w:numPr>
        <w:pStyle w:val="Compact"/>
      </w:pPr>
      <w:r>
        <w:t xml:space="preserve">https://en.wikipedia.org/wiki/Look_(American_magazine) and https://en.wikipedia.org/wiki/Life_(magazine) —</w:t>
      </w:r>
      <w:r>
        <w:t xml:space="preserve"> </w:t>
      </w:r>
      <w:r>
        <w:rPr>
          <w:i/>
        </w:rPr>
        <w:t xml:space="preserve">Saturday Evening Post</w:t>
      </w:r>
      <w:r>
        <w:t xml:space="preserve"> </w:t>
      </w:r>
      <w:r>
        <w:t xml:space="preserve">closed 1969;</w:t>
      </w:r>
      <w:r>
        <w:t xml:space="preserve"> </w:t>
      </w:r>
      <w:r>
        <w:rPr>
          <w:i/>
        </w:rPr>
        <w:t xml:space="preserve">Look</w:t>
      </w:r>
      <w:r>
        <w:t xml:space="preserve"> </w:t>
      </w:r>
      <w:r>
        <w:t xml:space="preserve">ceased publication October 1971; weekly</w:t>
      </w:r>
      <w:r>
        <w:t xml:space="preserve"> </w:t>
      </w:r>
      <w:r>
        <w:rPr>
          <w:i/>
        </w:rPr>
        <w:t xml:space="preserve">Life</w:t>
      </w:r>
      <w:r>
        <w:t xml:space="preserve"> </w:t>
      </w:r>
      <w:r>
        <w:t xml:space="preserve">published its last issue December 29, 1972; supports the death of the general-interest mass magazine contemporaneous with</w:t>
      </w:r>
      <w:r>
        <w:t xml:space="preserve"> </w:t>
      </w:r>
      <w:r>
        <w:rPr>
          <w:i/>
        </w:rPr>
        <w:t xml:space="preserve">Future Shock</w:t>
      </w:r>
      <w:r>
        <w:t xml:space="preserve">.</w:t>
      </w:r>
    </w:p>
    <w:p>
      <w:pPr>
        <w:numPr>
          <w:ilvl w:val="0"/>
          <w:numId w:val="1005"/>
        </w:numPr>
        <w:pStyle w:val="Compact"/>
      </w:pPr>
      <w:r>
        <w:t xml:space="preserve">https://www.brainyquote.com/quotes/alvin_toffler_777448 — Toffler,</w:t>
      </w:r>
      <w:r>
        <w:t xml:space="preserve"> </w:t>
      </w:r>
      <w:r>
        <w:rPr>
          <w:i/>
        </w:rPr>
        <w:t xml:space="preserve">Future Shock</w:t>
      </w:r>
      <w:r>
        <w:t xml:space="preserve"> </w:t>
      </w:r>
      <w:r>
        <w:t xml:space="preserve">(1970), Part Four: the</w:t>
      </w:r>
      <w:r>
        <w:t xml:space="preserve"> </w:t>
      </w:r>
      <w:r>
        <w:t xml:space="preserve">“</w:t>
      </w:r>
      <w:r>
        <w:t xml:space="preserve">overchoice</w:t>
      </w:r>
      <w:r>
        <w:t xml:space="preserve">”</w:t>
      </w:r>
      <w:r>
        <w:t xml:space="preserve"> </w:t>
      </w:r>
      <w:r>
        <w:t xml:space="preserve">passage (</w:t>
      </w:r>
      <w:r>
        <w:t xml:space="preserve">“</w:t>
      </w:r>
      <w:r>
        <w:t xml:space="preserve">people of the future may suffer not from an absence of choice, but from a paralyzing surfeit of it</w:t>
      </w:r>
      <w:r>
        <w:t xml:space="preserve">”</w:t>
      </w:r>
      <w:r>
        <w:t xml:space="preserve">).</w:t>
      </w:r>
    </w:p>
    <w:p>
      <w:pPr>
        <w:pStyle w:val="Heading1"/>
      </w:pPr>
      <w:bookmarkStart w:id="50" w:name="chapter-5-the-limits-of-adaptability"/>
      <w:r>
        <w:t xml:space="preserve">Chapter 5 — The Limits of Adaptability</w:t>
      </w:r>
      <w:bookmarkEnd w:id="50"/>
    </w:p>
    <w:p>
      <w:pPr>
        <w:pStyle w:val="Heading2"/>
      </w:pPr>
      <w:bookmarkStart w:id="51" w:name="the-claim-4"/>
      <w:r>
        <w:t xml:space="preserve">The Claim</w:t>
      </w:r>
      <w:bookmarkEnd w:id="51"/>
    </w:p>
    <w:p>
      <w:pPr>
        <w:pStyle w:val="FirstParagraph"/>
      </w:pPr>
      <w:r>
        <w:t xml:space="preserve">Every diagnosis needs a mechanism, and Part Five of</w:t>
      </w:r>
      <w:r>
        <w:t xml:space="preserve"> </w:t>
      </w:r>
      <w:r>
        <w:rPr>
          <w:i/>
        </w:rPr>
        <w:t xml:space="preserve">Future Shock</w:t>
      </w:r>
      <w:r>
        <w:t xml:space="preserve"> </w:t>
      </w:r>
      <w:r>
        <w:t xml:space="preserve">is where Toffler supplied his. The first four parts of the book catalogued the accelerating environment — impermanence, transience, novelty, diversity. Part Five turned to the patient and asked the question the whole book had been building toward: how much of this can a human being actually absorb?</w:t>
      </w:r>
    </w:p>
    <w:p>
      <w:pPr>
        <w:pStyle w:val="BodyText"/>
      </w:pPr>
      <w:r>
        <w:t xml:space="preserve">Toffler’s answer was blunt. Adaptability is not infinite. The human nervous system, he argued, evolved for a slower world, and it processes change the way the body processes any stressor — through a physical response with physical costs. He grounded the argument in the research of his day: the orientation response, in which the body reacts measurably to every novel stimulus, and the work of Thomas Holmes and Richard Rahe, whose 1967 Social Readjustment Rating Scale assigned point values to life changes and found that people accumulating too many</w:t>
      </w:r>
      <w:r>
        <w:t xml:space="preserve"> </w:t>
      </w:r>
      <w:r>
        <w:t xml:space="preserve">“</w:t>
      </w:r>
      <w:r>
        <w:t xml:space="preserve">life change units</w:t>
      </w:r>
      <w:r>
        <w:t xml:space="preserve">”</w:t>
      </w:r>
      <w:r>
        <w:t xml:space="preserve"> </w:t>
      </w:r>
      <w:r>
        <w:t xml:space="preserve">in a year got sick more often. Change, in this framing, is a dose. Past a threshold, the dose becomes toxic.</w:t>
      </w:r>
    </w:p>
    <w:p>
      <w:pPr>
        <w:pStyle w:val="BodyText"/>
      </w:pPr>
      <w:r>
        <w:t xml:space="preserve">From that mechanism Toffler derived a cluster of predictions. First, that a society accelerating on every axis would push growing numbers of people past their adaptive range, producing measurable increases in anxiety, distress, and what he called</w:t>
      </w:r>
      <w:r>
        <w:t xml:space="preserve"> </w:t>
      </w:r>
      <w:r>
        <w:t xml:space="preserve">“</w:t>
      </w:r>
      <w:r>
        <w:t xml:space="preserve">the disease of change.</w:t>
      </w:r>
      <w:r>
        <w:t xml:space="preserve">”</w:t>
      </w:r>
      <w:r>
        <w:t xml:space="preserve"> </w:t>
      </w:r>
      <w:r>
        <w:t xml:space="preserve">Second, that the informational environment specifically would overwhelm cognitive capacity — he gave the concept its lasting name,</w:t>
      </w:r>
      <w:r>
        <w:t xml:space="preserve"> </w:t>
      </w:r>
      <w:r>
        <w:t xml:space="preserve">“</w:t>
      </w:r>
      <w:r>
        <w:t xml:space="preserve">information overload,</w:t>
      </w:r>
      <w:r>
        <w:t xml:space="preserve">”</w:t>
      </w:r>
      <w:r>
        <w:t xml:space="preserve"> </w:t>
      </w:r>
      <w:r>
        <w:t xml:space="preserve">warning that when the rate of incoming signal exceeds the rate at which we can classify and evaluate it, thinking itself degrades. Third, that abundance would produce a paradoxical paralysis he called</w:t>
      </w:r>
      <w:r>
        <w:t xml:space="preserve"> </w:t>
      </w:r>
      <w:r>
        <w:t xml:space="preserve">“</w:t>
      </w:r>
      <w:r>
        <w:t xml:space="preserve">overchoice</w:t>
      </w:r>
      <w:r>
        <w:t xml:space="preserve">”</w:t>
      </w:r>
      <w:r>
        <w:t xml:space="preserve">: the point at which the benefits of variety are cancelled by the burden of deciding. And fourth, binding it all together, that future shock was not a metaphor but</w:t>
      </w:r>
      <w:r>
        <w:t xml:space="preserve"> </w:t>
      </w:r>
      <w:r>
        <w:t xml:space="preserve">“</w:t>
      </w:r>
      <w:r>
        <w:t xml:space="preserve">a real sickness</w:t>
      </w:r>
      <w:r>
        <w:t xml:space="preserve">”</w:t>
      </w:r>
      <w:r>
        <w:t xml:space="preserve"> </w:t>
      </w:r>
      <w:r>
        <w:t xml:space="preserve">— a physiological and psychological syndrome with identifiable symptoms: free-floating anxiety, irritability, denial, apathy, and a burned-out withdrawal from decision-making altogether.</w:t>
      </w:r>
    </w:p>
    <w:p>
      <w:pPr>
        <w:pStyle w:val="BodyText"/>
      </w:pPr>
      <w:r>
        <w:t xml:space="preserve">It is worth pausing on how strong that last claim is, because Toffler did not hedge it. He wrote that future shock</w:t>
      </w:r>
      <w:r>
        <w:t xml:space="preserve"> </w:t>
      </w:r>
      <w:r>
        <w:t xml:space="preserve">“</w:t>
      </w:r>
      <w:r>
        <w:t xml:space="preserve">is not a distant potential danger, but a real sickness from which increasingly large numbers already suffer.</w:t>
      </w:r>
      <w:r>
        <w:t xml:space="preserve">”</w:t>
      </w:r>
      <w:r>
        <w:t xml:space="preserve"> </w:t>
      </w:r>
      <w:r>
        <w:t xml:space="preserve">He described the victim in clinical terms: the overstimulated individual who first manages, then copes, then denies, then shuts down. He predicted the syndrome would spread as the pace of change spread, and that societies ignoring it would pay in mass psychological casualties.</w:t>
      </w:r>
    </w:p>
    <w:p>
      <w:pPr>
        <w:pStyle w:val="BodyText"/>
      </w:pPr>
      <w:r>
        <w:t xml:space="preserve">Steelmanned, the argument is this: adaptation is metabolically expensive; the demand for adaptation was rising faster than any plausible increase in human capacity; therefore the gap would surface somewhere in the population’s mental health, attention, and decision-making. In 1970 this was largely a deduction from small studies and extrapolation. It was also, of all the book’s claims, the most testable. Anxiety prevalence, attention behavior, information volume, and occupational exhaustion are all things we now measure at national and global scale. Fifty-six years later, the lab results are back. This chapter reads them.</w:t>
      </w:r>
    </w:p>
    <w:p>
      <w:pPr>
        <w:pStyle w:val="Heading2"/>
      </w:pPr>
      <w:bookmarkStart w:id="52" w:name="the-tests-4"/>
      <w:r>
        <w:t xml:space="preserve">The Tests</w:t>
      </w:r>
      <w:bookmarkEnd w:id="52"/>
    </w:p>
    <w:p>
      <w:pPr>
        <w:pStyle w:val="FirstParagraph"/>
      </w:pPr>
      <w:r>
        <w:t xml:space="preserve">Begin with the headline vital sign: anxiety. If Toffler’s mechanism is right, a half-century of acceleration should show up in prevalence data, and the direction of the evidence is not ambiguous. The National Institute of Mental Health estimates that 19.1 percent of U.S. adults had an anxiety disorder in the past year and that 31.1 percent will experience one in their lifetime, with past-year prevalence markedly higher among women than men — 23.4 percent against 14.3 percent (NIMH, National Comorbidity Survey data). Nearly a quarter of those adult cases involve serious impairment. Globally, the World Health Organization counted anxiety disorders as the world’s most prevalent mental disorder — roughly 301 million people affected in 2019, before the pandemic. Then came a natural experiment in acute societal disruption that Toffler could hardly have scripted better: in the first year of COVID-19, WHO’s scientific brief found global prevalence of anxiety and depression rose 25 percent (WHO, March 2022). A society under sudden, involuntary, high-speed change produced exactly the population-level psychological casualties his model predicted.</w:t>
      </w:r>
    </w:p>
    <w:p>
      <w:pPr>
        <w:pStyle w:val="BodyText"/>
      </w:pPr>
      <w:r>
        <w:t xml:space="preserve">The trend data among the young — the cohort marinated longest in the accelerated environment — are more striking still. Using the National Survey on Drug Use and Health, Twenge and colleagues found that past-year major depressive episodes among U.S. adolescents rose 52 percent between 2005 and 2017, from 8.7 percent to 13.2 percent, while serious psychological distress among young adults aged 18 to 25 rose 71 percent between 2008 and 2017 (Twenge et al.,</w:t>
      </w:r>
      <w:r>
        <w:t xml:space="preserve"> </w:t>
      </w:r>
      <w:r>
        <w:rPr>
          <w:i/>
        </w:rPr>
        <w:t xml:space="preserve">Journal of Abnormal Psychology</w:t>
      </w:r>
      <w:r>
        <w:t xml:space="preserve">, 2019). The CDC’s Youth Risk Behavior Survey recorded that 57 percent of U.S. teen girls felt persistently sad or hopeless in 2021 — up nearly 60 percent from a decade earlier — easing only to 53 percent by 2023, with 39.7 percent of all high-school students still reporting persistent sadness or hopelessness (CDC YRBS, 2023). Whatever mixture of causes one prefers — smartphones, social media, pandemic aftershock, better reporting — the inflection point sits around 2012, precisely when the informational environment underwent its sharpest acceleration since Toffler wrote. Correlation is not mechanism, and we will return to that caution in the findings. But a physician rereading the 1970 chart would note that the patient’s symptoms match the predicted course.</w:t>
      </w:r>
    </w:p>
    <w:p>
      <w:pPr>
        <w:pStyle w:val="BodyText"/>
      </w:pPr>
      <w:r>
        <w:t xml:space="preserve">Second test: information overload. Here the exposure side of the equation is easy to establish. IDC’s Global DataSphere estimates that the world created and replicated about 2 zettabytes of data in 2010 and roughly 147 zettabytes in 2024 (IDC, via Statista) — a seventy-fold increase in fourteen years. No serious estimate of human cognitive throughput has budged at all. The question is what that widening gap does to attention, and here we can lean on some of the most careful field research available rather than folklore. (The famous claim that human attention spans have shrunk below a goldfish’s is a debunked factoid with no traceable study behind it; we exclude it.) Gloria Mark of the University of California, Irvine has measured attention on screens directly since 2004 — first with stopwatches, later with computer logging. In 2004, knowledge workers’ average attention on any single screen before switching lasted about two and a half minutes. By the early 2020s it had fallen to about 47 seconds (Mark,</w:t>
      </w:r>
      <w:r>
        <w:t xml:space="preserve"> </w:t>
      </w:r>
      <w:r>
        <w:rPr>
          <w:i/>
        </w:rPr>
        <w:t xml:space="preserve">Attention Span</w:t>
      </w:r>
      <w:r>
        <w:t xml:space="preserve">, 2023; APA interview, 2023). Her earlier experimental work quantified the price of the switching itself: interrupted workers do complete tasks — often faster — but at the cost of significantly higher stress, frustration, and time pressure (Mark, Gudith &amp; Klocke, CHI 2008), and her field studies find it takes an average of 23 minutes and 15 seconds to fully return to a task after an interruption. The 2008 experiment carried a subtle twist worth noting: interrupted subjects actually finished their work in less time, compensating by working faster — and reported the physiological bill for doing so. This is the overload mechanism Toffler described, measured: not a collapse of thinking, but a chronic tax on it, paid in stress hormones and fragmented focus. The dose has kept rising while the organism compensates, which is precisely the pattern Holmes and Rahe’s life-change arithmetic — the research Toffler built his mechanism on — would have predicted.</w:t>
      </w:r>
    </w:p>
    <w:p>
      <w:pPr>
        <w:pStyle w:val="BodyText"/>
      </w:pPr>
      <w:r>
        <w:t xml:space="preserve">Third test: overchoice. Toffler predicted that multiplying options would eventually impair the ability to decide, and for a while the evidence seemed to confirm him spectacularly. In the canonical field experiment, Iyengar and Lepper set out gourmet jam in a California grocery store: when shoppers faced 24 varieties, only 3 percent of those who stopped bought a jar; when they faced six, roughly ten times that share did (Iyengar &amp; Lepper,</w:t>
      </w:r>
      <w:r>
        <w:t xml:space="preserve"> </w:t>
      </w:r>
      <w:r>
        <w:rPr>
          <w:i/>
        </w:rPr>
        <w:t xml:space="preserve">Journal of Personality and Social Psychology</w:t>
      </w:r>
      <w:r>
        <w:t xml:space="preserve">, 2000).</w:t>
      </w:r>
      <w:r>
        <w:t xml:space="preserve"> </w:t>
      </w:r>
      <w:r>
        <w:t xml:space="preserve">“</w:t>
      </w:r>
      <w:r>
        <w:t xml:space="preserve">Choice overload</w:t>
      </w:r>
      <w:r>
        <w:t xml:space="preserve">”</w:t>
      </w:r>
      <w:r>
        <w:t xml:space="preserve"> </w:t>
      </w:r>
      <w:r>
        <w:t xml:space="preserve">entered the textbooks. But the replication record complicates the story. A meta-analysis of 63 experimental conditions across 50 studies (N = 5,036) found a mean effect size of virtually zero, with wide variance across studies (Scheibehenne, Greifeneder &amp; Todd,</w:t>
      </w:r>
      <w:r>
        <w:t xml:space="preserve"> </w:t>
      </w:r>
      <w:r>
        <w:rPr>
          <w:i/>
        </w:rPr>
        <w:t xml:space="preserve">Journal of Consumer Research</w:t>
      </w:r>
      <w:r>
        <w:t xml:space="preserve">, 2010). Later work salvaged a conditional version: overload appears reliably when choices are complex, options are hard to compare, and preferences are uncertain — and disappears when people know what they want. Overchoice, in other words, is real but situational, not the universal paralysis Toffler forecast.</w:t>
      </w:r>
    </w:p>
    <w:p>
      <w:pPr>
        <w:pStyle w:val="BodyText"/>
      </w:pPr>
      <w:r>
        <w:t xml:space="preserve">Fourth test: the burned-out individual. Toffler’s portrait of the overstimulated worker — exhausted, cynical, disengaged, withdrawing from decisions — went looking for a diagnosis for five decades and eventually found one, nearly verbatim. In May 2019 the World Health Organization included burnout in ICD-11 as an occupational phenomenon: a syndrome of energy depletion, mental distance or cynicism toward one’s job, and reduced professional efficacy, resulting from chronic workplace stress that has not been successfully managed (WHO, 2019). It is a phenomenon, not a disease — a distinction that matters and to which we will return — but its scale is documented annually. Gallup’s State of the Global Workplace report found 41 percent of employees worldwide experienced</w:t>
      </w:r>
      <w:r>
        <w:t xml:space="preserve"> </w:t>
      </w:r>
      <w:r>
        <w:t xml:space="preserve">“</w:t>
      </w:r>
      <w:r>
        <w:t xml:space="preserve">a lot of stress</w:t>
      </w:r>
      <w:r>
        <w:t xml:space="preserve">”</w:t>
      </w:r>
      <w:r>
        <w:t xml:space="preserve"> </w:t>
      </w:r>
      <w:r>
        <w:t xml:space="preserve">the previous day, with the figure reaching 49 percent among U.S. and Canadian workers and running higher still among workers under 35 (Gallup, 2024). The gradient matters as much as the level: the same report found roughly a quarter of managers feeling burned out often or always, and stress concentrating precisely where decision load concentrates. That is Toffler’s decision-stress hypothesis in a modern payroll dataset. The syndrome he sketched in 1970 now has a WHO definition, a three-part symptom checklist, and a global prevalence tracker.</w:t>
      </w:r>
    </w:p>
    <w:p>
      <w:pPr>
        <w:pStyle w:val="BodyText"/>
      </w:pPr>
      <w:r>
        <w:t xml:space="preserve">What no test turned up, anywhere in the record, is future shock itself. No edition of the DSM has ever listed it. Neither has any revision of the ICD. The literal claim — a distinct, diagnosable physiological illness caused by the pace of change — produced no diagnostic entity, no biomarker, no clinical case definition in fifty-six years. The symptoms scattered and reattached to other names: generalized anxiety, burnout, technostress, doomscrolling fatigue. The syndrome dissolved; its symptom list did not.</w:t>
      </w:r>
    </w:p>
    <w:p>
      <w:pPr>
        <w:pStyle w:val="Heading2"/>
      </w:pPr>
      <w:bookmarkStart w:id="53" w:name="the-finding-4"/>
      <w:r>
        <w:t xml:space="preserve">The Finding</w:t>
      </w:r>
      <w:bookmarkEnd w:id="53"/>
    </w:p>
    <w:p>
      <w:pPr>
        <w:pStyle w:val="FirstParagraph"/>
      </w:pPr>
      <w:r>
        <w:t xml:space="preserve">Reopening this chart, the specialist’s summary reads: mechanism confirmed, nosology refuted. Toffler was right that adaptability has limits and that his society was heading toward them; he was wrong about what hitting the limits would look like.</w:t>
      </w:r>
    </w:p>
    <w:p>
      <w:pPr>
        <w:pStyle w:val="BodyText"/>
      </w:pPr>
      <w:r>
        <w:t xml:space="preserve">Where he was right, he was right early and against the grain of a confident era. The stress data, the anxiety trends, the attention research, and the WHO’s own classification of burnout together vindicate his core physiological intuition: change and stimulation are doses, chronic overdose has costs, and those costs surface in population health statistics. He named information overload before email existed, and the named phenomenon now has a seventy-fold-in-fourteen-years exposure curve and a measured 47-second attention span to its credit. Anyone tempted to dismiss</w:t>
      </w:r>
      <w:r>
        <w:t xml:space="preserve"> </w:t>
      </w:r>
      <w:r>
        <w:rPr>
          <w:i/>
        </w:rPr>
        <w:t xml:space="preserve">Future Shock</w:t>
      </w:r>
      <w:r>
        <w:t xml:space="preserve"> </w:t>
      </w:r>
      <w:r>
        <w:t xml:space="preserve">as period melodrama must explain why its Part Five reads like a briefing memo for the 2019 ICD revision.</w:t>
      </w:r>
    </w:p>
    <w:p>
      <w:pPr>
        <w:pStyle w:val="BodyText"/>
      </w:pPr>
      <w:r>
        <w:t xml:space="preserve">Where he was wrong is equally instructive. Future shock never became a disease because the human response to overload turned out to be adaptation of a kind Toffler undersold: not absorption but filtration. People did not shut down when the signal exceeded capacity; they skimmed, switched, delegated to defaults, outsourced curation to algorithms, and paid the tax in chronic low-grade stress rather than acute collapse. The overchoice literature makes the same point in miniature — paralysis appears only where filtering fails. From 1970 Toffler could not see the coping infrastructure that would co-evolve with the overload: search engines, recommendation systems, spam filters, the entire attention-brokering economy. That infrastructure prevented the acute syndrome while arguably industrializing the chronic one — the algorithms that filter the flood also profit from keeping us in it, a feedback loop he did not anticipate.</w:t>
      </w:r>
    </w:p>
    <w:p>
      <w:pPr>
        <w:pStyle w:val="BodyText"/>
      </w:pPr>
      <w:r>
        <w:t xml:space="preserve">The honest complication in his favor: the youth mental-health inflection after 2012 is the closest thing to a delayed confirmation the record offers. The first generation to grow up entirely inside the accelerated information environment shows the steepest deterioration in the data — a 52 percent rise in adolescent depression, a 71 percent rise in young-adult distress. Causality remains contested among researchers, and this review does not adjudicate it. But the pattern is the one his model predicted, arriving a generation late, in the population with the longest exposure. Even here, though, the record shows the adaptive machinery engaging rather than failing: the YRBS numbers improved between 2021 and 2023 as schools, parents, and platforms began treating the exposure as an exposure. The organism adjusts; it does not escape unmarked. Sometimes the disease the physician names does not exist — and the one he describes does.</w:t>
      </w:r>
    </w:p>
    <w:p>
      <w:pPr>
        <w:pStyle w:val="Heading2"/>
      </w:pPr>
      <w:bookmarkStart w:id="54" w:name="verdict-4"/>
      <w:r>
        <w:t xml:space="preserve">Verdict</w:t>
      </w:r>
      <w:bookmarkEnd w:id="5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claim (Part Five)</w:t>
            </w:r>
          </w:p>
        </w:tc>
        <w:tc>
          <w:tcPr>
            <w:tcBorders>
              <w:bottom w:val="single"/>
            </w:tcBorders>
            <w:vAlign w:val="bottom"/>
          </w:tcPr>
          <w:p>
            <w:pPr>
              <w:pStyle w:val="Compact"/>
              <w:jc w:val="left"/>
            </w:pPr>
            <w:r>
              <w:t xml:space="preserve">The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Accelerating change would drive population-wide increases in anxiety and psychological distress</w:t>
            </w:r>
          </w:p>
        </w:tc>
        <w:tc>
          <w:p>
            <w:pPr>
              <w:pStyle w:val="Compact"/>
              <w:jc w:val="left"/>
            </w:pPr>
            <w:r>
              <w:t xml:space="preserve">Anxiety is the world’s most prevalent mental disorder (~301M people, 2019); global anxiety/depression rose 25% in the pandemic’s first year; U.S. adolescent depression up 52% (2005–2017), young-adult serious distress up 71% (2008–2017)</w:t>
            </w:r>
          </w:p>
        </w:tc>
        <w:tc>
          <w:p>
            <w:pPr>
              <w:pStyle w:val="Compact"/>
              <w:jc w:val="left"/>
            </w:pPr>
            <w:r>
              <w:t xml:space="preserve">Confirmed</w:t>
            </w:r>
          </w:p>
        </w:tc>
        <w:tc>
          <w:p>
            <w:pPr>
              <w:pStyle w:val="Compact"/>
              <w:jc w:val="left"/>
            </w:pPr>
            <w:r>
              <w:t xml:space="preserve">WHO (2022); NIMH; Twenge et al. (2019)</w:t>
            </w:r>
          </w:p>
        </w:tc>
      </w:tr>
      <w:tr>
        <w:tc>
          <w:p>
            <w:pPr>
              <w:pStyle w:val="Compact"/>
              <w:jc w:val="left"/>
            </w:pPr>
            <w:r>
              <w:t xml:space="preserve">“</w:t>
            </w:r>
            <w:r>
              <w:t xml:space="preserve">Information overload</w:t>
            </w:r>
            <w:r>
              <w:t xml:space="preserve">”</w:t>
            </w:r>
            <w:r>
              <w:t xml:space="preserve"> </w:t>
            </w:r>
            <w:r>
              <w:t xml:space="preserve">would exceed human processing capacity and degrade attention</w:t>
            </w:r>
          </w:p>
        </w:tc>
        <w:tc>
          <w:p>
            <w:pPr>
              <w:pStyle w:val="Compact"/>
              <w:jc w:val="left"/>
            </w:pPr>
            <w:r>
              <w:t xml:space="preserve">Global data creation grew from 2 ZB (2010) to ~147 ZB (2024); average attention on a single screen fell from ~2.5 minutes (2004) to ~47 seconds (2020s); interruptions raise stress and cost ~23 minutes of refocusing</w:t>
            </w:r>
          </w:p>
        </w:tc>
        <w:tc>
          <w:p>
            <w:pPr>
              <w:pStyle w:val="Compact"/>
              <w:jc w:val="left"/>
            </w:pPr>
            <w:r>
              <w:t xml:space="preserve">Confirmed</w:t>
            </w:r>
          </w:p>
        </w:tc>
        <w:tc>
          <w:p>
            <w:pPr>
              <w:pStyle w:val="Compact"/>
              <w:jc w:val="left"/>
            </w:pPr>
            <w:r>
              <w:t xml:space="preserve">IDC/Statista; Mark (2008, 2023)</w:t>
            </w:r>
          </w:p>
        </w:tc>
      </w:tr>
      <w:tr>
        <w:tc>
          <w:p>
            <w:pPr>
              <w:pStyle w:val="Compact"/>
              <w:jc w:val="left"/>
            </w:pPr>
            <w:r>
              <w:t xml:space="preserve">“</w:t>
            </w:r>
            <w:r>
              <w:t xml:space="preserve">Overchoice</w:t>
            </w:r>
            <w:r>
              <w:t xml:space="preserve">”</w:t>
            </w:r>
            <w:r>
              <w:t xml:space="preserve">: expanding options would paralyze decision-making</w:t>
            </w:r>
          </w:p>
        </w:tc>
        <w:tc>
          <w:p>
            <w:pPr>
              <w:pStyle w:val="Compact"/>
              <w:jc w:val="left"/>
            </w:pPr>
            <w:r>
              <w:t xml:space="preserve">Jam study showed 3% vs ~30% purchase rates (2000), but meta-analysis of 50 studies (N=5,036) found a mean effect near zero; overload is real only under complexity and preference uncertainty</w:t>
            </w:r>
          </w:p>
        </w:tc>
        <w:tc>
          <w:p>
            <w:pPr>
              <w:pStyle w:val="Compact"/>
              <w:jc w:val="left"/>
            </w:pPr>
            <w:r>
              <w:t xml:space="preserve">Partial</w:t>
            </w:r>
          </w:p>
        </w:tc>
        <w:tc>
          <w:p>
            <w:pPr>
              <w:pStyle w:val="Compact"/>
              <w:jc w:val="left"/>
            </w:pPr>
            <w:r>
              <w:t xml:space="preserve">Iyengar &amp; Lepper (2000); Scheibehenne et al. (2010)</w:t>
            </w:r>
          </w:p>
        </w:tc>
      </w:tr>
      <w:tr>
        <w:tc>
          <w:p>
            <w:pPr>
              <w:pStyle w:val="Compact"/>
              <w:jc w:val="left"/>
            </w:pPr>
            <w:r>
              <w:t xml:space="preserve">The overstimulated individual: chronic exhaustion, cynicism, and withdrawal as a mass occupational condition</w:t>
            </w:r>
          </w:p>
        </w:tc>
        <w:tc>
          <w:p>
            <w:pPr>
              <w:pStyle w:val="Compact"/>
              <w:jc w:val="left"/>
            </w:pPr>
            <w:r>
              <w:t xml:space="preserve">WHO added burnout to ICD-11 (2019) with a three-symptom definition matching Toffler’s portrait; 41% of employees globally report high daily stress (49% in U.S./Canada)</w:t>
            </w:r>
          </w:p>
        </w:tc>
        <w:tc>
          <w:p>
            <w:pPr>
              <w:pStyle w:val="Compact"/>
              <w:jc w:val="left"/>
            </w:pPr>
            <w:r>
              <w:t xml:space="preserve">Confirmed</w:t>
            </w:r>
          </w:p>
        </w:tc>
        <w:tc>
          <w:p>
            <w:pPr>
              <w:pStyle w:val="Compact"/>
              <w:jc w:val="left"/>
            </w:pPr>
            <w:r>
              <w:t xml:space="preserve">WHO (2019); Gallup (2024)</w:t>
            </w:r>
          </w:p>
        </w:tc>
      </w:tr>
      <w:tr>
        <w:tc>
          <w:p>
            <w:pPr>
              <w:pStyle w:val="Compact"/>
              <w:jc w:val="left"/>
            </w:pPr>
            <w:r>
              <w:t xml:space="preserve">“</w:t>
            </w:r>
            <w:r>
              <w:t xml:space="preserve">Future shock</w:t>
            </w:r>
            <w:r>
              <w:t xml:space="preserve">”</w:t>
            </w:r>
            <w:r>
              <w:t xml:space="preserve"> </w:t>
            </w:r>
            <w:r>
              <w:t xml:space="preserve">is itself a real, diagnosable physiological disease</w:t>
            </w:r>
          </w:p>
        </w:tc>
        <w:tc>
          <w:p>
            <w:pPr>
              <w:pStyle w:val="Compact"/>
              <w:jc w:val="left"/>
            </w:pPr>
            <w:r>
              <w:t xml:space="preserve">No DSM or ICD revision in 56 years has recognized any such diagnosis; the symptom cluster dispersed into other classifications</w:t>
            </w:r>
          </w:p>
        </w:tc>
        <w:tc>
          <w:p>
            <w:pPr>
              <w:pStyle w:val="Compact"/>
              <w:jc w:val="left"/>
            </w:pPr>
            <w:r>
              <w:t xml:space="preserve">Refuted</w:t>
            </w:r>
          </w:p>
        </w:tc>
        <w:tc>
          <w:p>
            <w:pPr>
              <w:pStyle w:val="Compact"/>
              <w:jc w:val="left"/>
            </w:pPr>
            <w:r>
              <w:t xml:space="preserve">DSM-5-TR / ICD-11 (absence of entry)</w:t>
            </w:r>
          </w:p>
        </w:tc>
      </w:tr>
    </w:tbl>
    <w:p>
      <w:pPr>
        <w:pStyle w:val="BodyText"/>
      </w:pPr>
      <w:r>
        <w:t xml:space="preserve">The patient, then, is stressed but not broken — adapted, at a price, by outsourcing the overload to machines that filter, rank, and choose on our behalf. Toffler saw this coming too. Part Six of</w:t>
      </w:r>
      <w:r>
        <w:t xml:space="preserve"> </w:t>
      </w:r>
      <w:r>
        <w:rPr>
          <w:i/>
        </w:rPr>
        <w:t xml:space="preserve">Future Shock</w:t>
      </w:r>
      <w:r>
        <w:t xml:space="preserve"> </w:t>
      </w:r>
      <w:r>
        <w:t xml:space="preserve">was his prescription pad: personal</w:t>
      </w:r>
      <w:r>
        <w:t xml:space="preserve"> </w:t>
      </w:r>
      <w:r>
        <w:t xml:space="preserve">“</w:t>
      </w:r>
      <w:r>
        <w:t xml:space="preserve">stability zones,</w:t>
      </w:r>
      <w:r>
        <w:t xml:space="preserve">”</w:t>
      </w:r>
      <w:r>
        <w:t xml:space="preserve"> </w:t>
      </w:r>
      <w:r>
        <w:t xml:space="preserve">situational grouping, ad-hocratic institutions, and an education system rebuilt to teach adaptation itself. Having confirmed most of his diagnosis, we owe his treatment plan the same scrutiny. The next chapter grades the cures.</w:t>
      </w:r>
    </w:p>
    <w:p>
      <w:pPr>
        <w:pStyle w:val="Heading2"/>
      </w:pPr>
      <w:bookmarkStart w:id="55" w:name="sources-5"/>
      <w:r>
        <w:t xml:space="preserve">Sources</w:t>
      </w:r>
      <w:bookmarkEnd w:id="55"/>
    </w:p>
    <w:p>
      <w:pPr>
        <w:numPr>
          <w:ilvl w:val="0"/>
          <w:numId w:val="1006"/>
        </w:numPr>
        <w:pStyle w:val="Compact"/>
      </w:pPr>
      <w:r>
        <w:t xml:space="preserve">https://www.nimh.nih.gov/health/statistics/any-anxiety-disorder — NIMH: 19.1% past-year and 31.1% lifetime prevalence of any anxiety disorder among U.S. adults (National Comorbidity Survey data).</w:t>
      </w:r>
    </w:p>
    <w:p>
      <w:pPr>
        <w:numPr>
          <w:ilvl w:val="0"/>
          <w:numId w:val="1006"/>
        </w:numPr>
        <w:pStyle w:val="Compact"/>
      </w:pPr>
      <w:r>
        <w:t xml:space="preserve">https://www.who.int/news/item/02-03-2022-covid-19-pandemic-triggers-25-increase-in-prevalence-of-anxiety-and-depression-worldwide — WHO scientific brief (March 2022): 25% rise in global anxiety and depression prevalence in the first year of COVID-19; ~301 million people with anxiety disorders in 2019.</w:t>
      </w:r>
    </w:p>
    <w:p>
      <w:pPr>
        <w:numPr>
          <w:ilvl w:val="0"/>
          <w:numId w:val="1006"/>
        </w:numPr>
        <w:pStyle w:val="Compact"/>
      </w:pPr>
      <w:r>
        <w:t xml:space="preserve">https://www.apa.org/pubs/journals/releases/abn-abn0000410.pdf — Twenge et al. (2019),</w:t>
      </w:r>
      <w:r>
        <w:t xml:space="preserve"> </w:t>
      </w:r>
      <w:r>
        <w:rPr>
          <w:i/>
        </w:rPr>
        <w:t xml:space="preserve">Journal of Abnormal Psychology</w:t>
      </w:r>
      <w:r>
        <w:t xml:space="preserve">: NSDUH trends — adolescent major depressive episodes 8.7%→13.2% (2005–2017, +52%); serious psychological distress in ages 18–25 +71% (2008–2017).</w:t>
      </w:r>
    </w:p>
    <w:p>
      <w:pPr>
        <w:numPr>
          <w:ilvl w:val="0"/>
          <w:numId w:val="1006"/>
        </w:numPr>
        <w:pStyle w:val="Compact"/>
      </w:pPr>
      <w:r>
        <w:t xml:space="preserve">https://www.cdc.gov/yrbs/results/2023-yrbs-results.html — CDC Youth Risk Behavior Survey 2023: 39.7% of high-school students, 53% of girls, reported persistent sadness or hopelessness; improvement from 2021.</w:t>
      </w:r>
    </w:p>
    <w:p>
      <w:pPr>
        <w:numPr>
          <w:ilvl w:val="0"/>
          <w:numId w:val="1006"/>
        </w:numPr>
        <w:pStyle w:val="Compact"/>
      </w:pPr>
      <w:r>
        <w:t xml:space="preserve">https://www.cdc.gov/media/releases/2023/p0213-yrbs.html — CDC (2023): 57% of teen girls persistently sad or hopeless in 2021, up nearly 60% from a decade earlier.</w:t>
      </w:r>
    </w:p>
    <w:p>
      <w:pPr>
        <w:numPr>
          <w:ilvl w:val="0"/>
          <w:numId w:val="1006"/>
        </w:numPr>
        <w:pStyle w:val="Compact"/>
      </w:pPr>
      <w:r>
        <w:t xml:space="preserve">https://www.apa.org/news/podcasts/speaking-of-psychology/attention-spans — APA interview with Gloria Mark: average attention on any screen ~2.5 minutes in 2004 vs ~47 seconds in recent studies; measurement methods.</w:t>
      </w:r>
    </w:p>
    <w:p>
      <w:pPr>
        <w:numPr>
          <w:ilvl w:val="0"/>
          <w:numId w:val="1006"/>
        </w:numPr>
        <w:pStyle w:val="Compact"/>
      </w:pPr>
      <w:r>
        <w:t xml:space="preserve">https://ics.uci.edu/~gmark/chi08-mark.pdf — Mark, Gudith &amp; Klocke (CHI 2008),</w:t>
      </w:r>
      <w:r>
        <w:t xml:space="preserve"> </w:t>
      </w:r>
      <w:r>
        <w:t xml:space="preserve">“</w:t>
      </w:r>
      <w:r>
        <w:t xml:space="preserve">The Cost of Interrupted Work</w:t>
      </w:r>
      <w:r>
        <w:t xml:space="preserve">”</w:t>
      </w:r>
      <w:r>
        <w:t xml:space="preserve">: interrupted work completed faster but with significantly higher stress, frustration, and time pressure; basis for the 23-minute-15-second refocusing figure Mark reports from her field studies.</w:t>
      </w:r>
    </w:p>
    <w:p>
      <w:pPr>
        <w:numPr>
          <w:ilvl w:val="0"/>
          <w:numId w:val="1006"/>
        </w:numPr>
        <w:pStyle w:val="Compact"/>
      </w:pPr>
      <w:r>
        <w:t xml:space="preserve">https://www.statista.com/statistics/871513/worldwide-data-created/ — IDC Global DataSphere (via Statista): ~2 zettabytes of data created/replicated worldwide in 2010 vs ~147 zettabytes in 2024.</w:t>
      </w:r>
    </w:p>
    <w:p>
      <w:pPr>
        <w:numPr>
          <w:ilvl w:val="0"/>
          <w:numId w:val="1006"/>
        </w:numPr>
        <w:pStyle w:val="Compact"/>
      </w:pPr>
      <w:r>
        <w:t xml:space="preserve">https://www.who.int/news/item/28-05-2019-burn-out-an-occupational-phenomenon-international-classification-of-diseases — WHO (May 2019): burnout included in ICD-11 as an occupational phenomenon; three-dimension definition.</w:t>
      </w:r>
    </w:p>
    <w:p>
      <w:pPr>
        <w:numPr>
          <w:ilvl w:val="0"/>
          <w:numId w:val="1006"/>
        </w:numPr>
        <w:pStyle w:val="Compact"/>
      </w:pPr>
      <w:r>
        <w:t xml:space="preserve">https://www.gallup.com/workplace/349484/state-of-the-global-workplace.aspx — Gallup, State of the Global Workplace 2024: 41% of employees worldwide experienced a lot of stress the previous day; 49% in U.S./Canada; higher among workers under 35.</w:t>
      </w:r>
    </w:p>
    <w:p>
      <w:pPr>
        <w:numPr>
          <w:ilvl w:val="0"/>
          <w:numId w:val="1006"/>
        </w:numPr>
        <w:pStyle w:val="Compact"/>
      </w:pPr>
      <w:r>
        <w:t xml:space="preserve">https://psycnet.apa.org/record/2000-16701-012 — Iyengar &amp; Lepper (2000),</w:t>
      </w:r>
      <w:r>
        <w:t xml:space="preserve"> </w:t>
      </w:r>
      <w:r>
        <w:t xml:space="preserve">“</w:t>
      </w:r>
      <w:r>
        <w:t xml:space="preserve">When Choice Is Demotivating,</w:t>
      </w:r>
      <w:r>
        <w:t xml:space="preserve">”</w:t>
      </w:r>
      <w:r>
        <w:t xml:space="preserve"> </w:t>
      </w:r>
      <w:r>
        <w:rPr>
          <w:i/>
        </w:rPr>
        <w:t xml:space="preserve">Journal of Personality and Social Psychology</w:t>
      </w:r>
      <w:r>
        <w:t xml:space="preserve">: 24-jam vs 6-jam field experiment; 3% vs ~30% purchase rates.</w:t>
      </w:r>
    </w:p>
    <w:p>
      <w:pPr>
        <w:numPr>
          <w:ilvl w:val="0"/>
          <w:numId w:val="1006"/>
        </w:numPr>
        <w:pStyle w:val="Compact"/>
      </w:pPr>
      <w:r>
        <w:t xml:space="preserve">https://scheibehenne.com/ScheibehenneGreifenederTodd2010.pdf — Scheibehenne, Greifeneder &amp; Todd (2010),</w:t>
      </w:r>
      <w:r>
        <w:t xml:space="preserve"> </w:t>
      </w:r>
      <w:r>
        <w:rPr>
          <w:i/>
        </w:rPr>
        <w:t xml:space="preserve">Journal of Consumer Research</w:t>
      </w:r>
      <w:r>
        <w:t xml:space="preserve">: meta-analysis of 63 conditions, 50 studies, N=5,036; mean choice-overload effect size virtually zero with high between-study variance.</w:t>
      </w:r>
    </w:p>
    <w:p>
      <w:pPr>
        <w:pStyle w:val="Heading1"/>
      </w:pPr>
      <w:bookmarkStart w:id="56" w:name="chapter-6-strategies-for-survival"/>
      <w:r>
        <w:t xml:space="preserve">Chapter 6 — Strategies for Survival</w:t>
      </w:r>
      <w:bookmarkEnd w:id="56"/>
    </w:p>
    <w:p>
      <w:pPr>
        <w:pStyle w:val="Heading2"/>
      </w:pPr>
      <w:bookmarkStart w:id="57" w:name="the-claim-5"/>
      <w:r>
        <w:t xml:space="preserve">The Claim</w:t>
      </w:r>
      <w:bookmarkEnd w:id="57"/>
    </w:p>
    <w:p>
      <w:pPr>
        <w:pStyle w:val="FirstParagraph"/>
      </w:pPr>
      <w:r>
        <w:t xml:space="preserve">Five chapters of diagnosis obligated Toffler to a treatment plan, and Part Six of</w:t>
      </w:r>
      <w:r>
        <w:t xml:space="preserve"> </w:t>
      </w:r>
      <w:r>
        <w:rPr>
          <w:i/>
        </w:rPr>
        <w:t xml:space="preserve">Future Shock</w:t>
      </w:r>
      <w:r>
        <w:t xml:space="preserve"> </w:t>
      </w:r>
      <w:r>
        <w:t xml:space="preserve">is where he wrote one. He was emphatic that the book was not a plea to slow the world down.</w:t>
      </w:r>
      <w:r>
        <w:t xml:space="preserve"> </w:t>
      </w:r>
      <w:r>
        <w:t xml:space="preserve">“</w:t>
      </w:r>
      <w:r>
        <w:t xml:space="preserve">The malaise, mass neurosis, irrationality, and free-floating violence already apparent in contemporary life,</w:t>
      </w:r>
      <w:r>
        <w:t xml:space="preserve">”</w:t>
      </w:r>
      <w:r>
        <w:t xml:space="preserve"> </w:t>
      </w:r>
      <w:r>
        <w:t xml:space="preserve">he wrote,</w:t>
      </w:r>
      <w:r>
        <w:t xml:space="preserve"> </w:t>
      </w:r>
      <w:r>
        <w:t xml:space="preserve">“</w:t>
      </w:r>
      <w:r>
        <w:t xml:space="preserve">are merely a foretaste of what may lie ahead unless we come to understand and treat this disease.</w:t>
      </w:r>
      <w:r>
        <w:t xml:space="preserve">”</w:t>
      </w:r>
      <w:r>
        <w:t xml:space="preserve"> </w:t>
      </w:r>
      <w:r>
        <w:t xml:space="preserve">The cure was not less change but managed change — a portfolio of prescriptions running from the individual medicine cabinet up to the constitutional order.</w:t>
      </w:r>
    </w:p>
    <w:p>
      <w:pPr>
        <w:pStyle w:val="BodyText"/>
      </w:pPr>
      <w:r>
        <w:t xml:space="preserve">At the personal level he prescribed what he called</w:t>
      </w:r>
      <w:r>
        <w:t xml:space="preserve"> </w:t>
      </w:r>
      <w:r>
        <w:t xml:space="preserve">“</w:t>
      </w:r>
      <w:r>
        <w:t xml:space="preserve">personal stability zones</w:t>
      </w:r>
      <w:r>
        <w:t xml:space="preserve">”</w:t>
      </w:r>
      <w:r>
        <w:t xml:space="preserve">: deliberately unchanging anchors — a long marriage, a kept house, an old car, durable habits — that ration the dose of novelty so the rest of life can absorb more of it. Around the individual he proposed a social scaffolding:</w:t>
      </w:r>
      <w:r>
        <w:t xml:space="preserve"> </w:t>
      </w:r>
      <w:r>
        <w:t xml:space="preserve">“</w:t>
      </w:r>
      <w:r>
        <w:t xml:space="preserve">situational grouping,</w:t>
      </w:r>
      <w:r>
        <w:t xml:space="preserve">”</w:t>
      </w:r>
      <w:r>
        <w:t xml:space="preserve"> </w:t>
      </w:r>
      <w:r>
        <w:t xml:space="preserve">in which people undergoing the same transition — relocation, divorce, retirement, retraining — would be convened, temporarily, to metabolize the change together; a corps of crisis counselors, professional and lay, stationed at life’s fracture points;</w:t>
      </w:r>
      <w:r>
        <w:t xml:space="preserve"> </w:t>
      </w:r>
      <w:r>
        <w:t xml:space="preserve">“</w:t>
      </w:r>
      <w:r>
        <w:t xml:space="preserve">halfway houses</w:t>
      </w:r>
      <w:r>
        <w:t xml:space="preserve">”</w:t>
      </w:r>
      <w:r>
        <w:t xml:space="preserve"> </w:t>
      </w:r>
      <w:r>
        <w:t xml:space="preserve">to stage people gradually into new conditions rather than dropping them in cold; and, for those who needed sanctuary or rehearsal,</w:t>
      </w:r>
      <w:r>
        <w:t xml:space="preserve"> </w:t>
      </w:r>
      <w:r>
        <w:t xml:space="preserve">“</w:t>
      </w:r>
      <w:r>
        <w:t xml:space="preserve">enclaves of the past</w:t>
      </w:r>
      <w:r>
        <w:t xml:space="preserve">”</w:t>
      </w:r>
      <w:r>
        <w:t xml:space="preserve"> </w:t>
      </w:r>
      <w:r>
        <w:t xml:space="preserve">where life ran deliberately slow and</w:t>
      </w:r>
      <w:r>
        <w:t xml:space="preserve"> </w:t>
      </w:r>
      <w:r>
        <w:t xml:space="preserve">“</w:t>
      </w:r>
      <w:r>
        <w:t xml:space="preserve">enclaves of the future</w:t>
      </w:r>
      <w:r>
        <w:t xml:space="preserve">”</w:t>
      </w:r>
      <w:r>
        <w:t xml:space="preserve"> </w:t>
      </w:r>
      <w:r>
        <w:t xml:space="preserve">where tomorrow could be sampled in advance.</w:t>
      </w:r>
    </w:p>
    <w:p>
      <w:pPr>
        <w:pStyle w:val="BodyText"/>
      </w:pPr>
      <w:r>
        <w:t xml:space="preserve">At the institutional level, the prescriptions grew more ambitious. Education, he argued, was the most perversely misaligned instrument in society: a system expressly built to simulate the industrial world — bells, batches, punctuality, rote — was training children for a society that would no longer exist. Schools must instead teach in</w:t>
      </w:r>
      <w:r>
        <w:t xml:space="preserve"> </w:t>
      </w:r>
      <w:r>
        <w:t xml:space="preserve">“</w:t>
      </w:r>
      <w:r>
        <w:t xml:space="preserve">the future tense</w:t>
      </w:r>
      <w:r>
        <w:t xml:space="preserve">”</w:t>
      </w:r>
      <w:r>
        <w:t xml:space="preserve">: students and communities should convene</w:t>
      </w:r>
      <w:r>
        <w:t xml:space="preserve"> </w:t>
      </w:r>
      <w:r>
        <w:t xml:space="preserve">“</w:t>
      </w:r>
      <w:r>
        <w:t xml:space="preserve">Councils of the Future</w:t>
      </w:r>
      <w:r>
        <w:t xml:space="preserve">”</w:t>
      </w:r>
      <w:r>
        <w:t xml:space="preserve"> </w:t>
      </w:r>
      <w:r>
        <w:t xml:space="preserve">in every school, and the curriculum’s first product should be the capacity to learn, unlearn, and relearn. Here the chart requires a correction, because the most famous line in Part Six is misfiled. The sentence endlessly attributed to Toffler —</w:t>
      </w:r>
      <w:r>
        <w:t xml:space="preserve"> </w:t>
      </w:r>
      <w:r>
        <w:t xml:space="preserve">“</w:t>
      </w:r>
      <w:r>
        <w:t xml:space="preserve">the illiterate of the 21st century will not be those who cannot read and write, but those who cannot learn, unlearn, and relearn</w:t>
      </w:r>
      <w:r>
        <w:t xml:space="preserve">”</w:t>
      </w:r>
      <w:r>
        <w:t xml:space="preserve"> </w:t>
      </w:r>
      <w:r>
        <w:t xml:space="preserve">— appears nowhere in the book. What Toffler actually printed was a quotation from the psychologist Herbert Gerjuoy of the Human Resources Research Organization:</w:t>
      </w:r>
      <w:r>
        <w:t xml:space="preserve"> </w:t>
      </w:r>
      <w:r>
        <w:t xml:space="preserve">“</w:t>
      </w:r>
      <w:r>
        <w:t xml:space="preserve">Tomorrow’s illiterate will not be the man who can’t read; he will be the man who has not learned how to learn.</w:t>
      </w:r>
      <w:r>
        <w:t xml:space="preserve">”</w:t>
      </w:r>
      <w:r>
        <w:t xml:space="preserve"> </w:t>
      </w:r>
      <w:r>
        <w:t xml:space="preserve">Toffler’s own sentence, nearby, was that</w:t>
      </w:r>
      <w:r>
        <w:t xml:space="preserve"> </w:t>
      </w:r>
      <w:r>
        <w:t xml:space="preserve">“</w:t>
      </w:r>
      <w:r>
        <w:t xml:space="preserve">by instructing students how to learn, unlearn and relearn, a powerful new dimension can be added to education.</w:t>
      </w:r>
      <w:r>
        <w:t xml:space="preserve">”</w:t>
      </w:r>
      <w:r>
        <w:t xml:space="preserve"> </w:t>
      </w:r>
      <w:r>
        <w:t xml:space="preserve">Posterity fused the two, polished them, and stamped Toffler’s name on the result — a small case study, to which we will return, in what culture does with prescriptions: it keeps the slogan and loses the dosage instructions.</w:t>
      </w:r>
    </w:p>
    <w:p>
      <w:pPr>
        <w:pStyle w:val="BodyText"/>
      </w:pPr>
      <w:r>
        <w:t xml:space="preserve">Finally, the civic prescriptions. Technology, Toffler argued, must be screened before deployment, not mourned afterward — he called for technology assessment bodies and a</w:t>
      </w:r>
      <w:r>
        <w:t xml:space="preserve"> </w:t>
      </w:r>
      <w:r>
        <w:t xml:space="preserve">“</w:t>
      </w:r>
      <w:r>
        <w:t xml:space="preserve">technological ombudsman</w:t>
      </w:r>
      <w:r>
        <w:t xml:space="preserve">”</w:t>
      </w:r>
      <w:r>
        <w:t xml:space="preserve"> </w:t>
      </w:r>
      <w:r>
        <w:t xml:space="preserve">to hear grievances against careless innovation. And democracy itself needed a new organ:</w:t>
      </w:r>
      <w:r>
        <w:t xml:space="preserve"> </w:t>
      </w:r>
      <w:r>
        <w:t xml:space="preserve">“</w:t>
      </w:r>
      <w:r>
        <w:t xml:space="preserve">anticipatory democracy,</w:t>
      </w:r>
      <w:r>
        <w:t xml:space="preserve">”</w:t>
      </w:r>
      <w:r>
        <w:t xml:space="preserve"> </w:t>
      </w:r>
      <w:r>
        <w:t xml:space="preserve">participatory institutions — he imagined</w:t>
      </w:r>
      <w:r>
        <w:t xml:space="preserve"> </w:t>
      </w:r>
      <w:r>
        <w:t xml:space="preserve">“</w:t>
      </w:r>
      <w:r>
        <w:t xml:space="preserve">social future assemblies</w:t>
      </w:r>
      <w:r>
        <w:t xml:space="preserve">”</w:t>
      </w:r>
      <w:r>
        <w:t xml:space="preserve"> </w:t>
      </w:r>
      <w:r>
        <w:t xml:space="preserve">— through which ordinary citizens, not just experts, would deliberate about preferred futures and steer toward them. Fifty-six years on, every one of these prescriptions can be checked against the pharmacy records. This chapter audits which were filled, which were ignored, and which were filled in forms Toffler would not recognize.</w:t>
      </w:r>
    </w:p>
    <w:p>
      <w:pPr>
        <w:pStyle w:val="Heading2"/>
      </w:pPr>
      <w:bookmarkStart w:id="58" w:name="the-tests-5"/>
      <w:r>
        <w:t xml:space="preserve">The Tests</w:t>
      </w:r>
      <w:bookmarkEnd w:id="58"/>
    </w:p>
    <w:p>
      <w:pPr>
        <w:pStyle w:val="FirstParagraph"/>
      </w:pPr>
      <w:r>
        <w:t xml:space="preserve">Begin with the prescription that produced the cleanest natural experiment, because the United States actually took the medicine and then, mid-course, stopped. Congress passed the Technology Assessment Act in October 1972 — two years after</w:t>
      </w:r>
      <w:r>
        <w:t xml:space="preserve"> </w:t>
      </w:r>
      <w:r>
        <w:rPr>
          <w:i/>
        </w:rPr>
        <w:t xml:space="preserve">Future Shock</w:t>
      </w:r>
      <w:r>
        <w:t xml:space="preserve"> </w:t>
      </w:r>
      <w:r>
        <w:t xml:space="preserve">appeared, with Toffler among the idea’s public champions — creating the Office of Technology Assessment as a legislative-branch agency charged with giving Congress</w:t>
      </w:r>
      <w:r>
        <w:t xml:space="preserve"> </w:t>
      </w:r>
      <w:r>
        <w:t xml:space="preserve">“</w:t>
      </w:r>
      <w:r>
        <w:t xml:space="preserve">early indications of the probable beneficial and adverse impacts</w:t>
      </w:r>
      <w:r>
        <w:t xml:space="preserve">”</w:t>
      </w:r>
      <w:r>
        <w:t xml:space="preserve"> </w:t>
      </w:r>
      <w:r>
        <w:t xml:space="preserve">of technology (P.L. 92-484). First funded in fiscal 1974, OTA ran for roughly two decades and produced about 750 assessments, background papers, and technical memoranda on everything from acid rain to genetic testing (CRS, R46327). Then, in 1995, the new Republican House defunded it — a bipartisan-governed agency with a budget rounding to zero in federal terms, eliminated as a symbol of waste. The timing belongs in a textbook: Congress dismantled its instrument for anticipating technological consequences on the eve of the commercial internet. The prescription itself, however, did not die; it emigrated. The European Parliamentary Technology Assessment network, founded in 1990 partly on the OTA model, today counts 24 member institutions advising parliaments across Europe and beyond (EPTA). And in 2019 — twenty-four years after the amputation — the U.S. Government Accountability Office quietly rebuilt the limb, launching its Science, Technology Assessment, and Analytics team to restore technology-assessment capacity for Congress (GAO, 2019). The United States adopted Toffler’s cure, discontinued it at precisely the moment the disease accelerated, and is now paying to re-derive it.</w:t>
      </w:r>
    </w:p>
    <w:p>
      <w:pPr>
        <w:pStyle w:val="BodyText"/>
      </w:pPr>
      <w:r>
        <w:t xml:space="preserve">Second test: anticipatory democracy. Here the early uptake was real and the fade nearly total. In 1970, the year of publication, Hawaii’s governor convened the Governor’s Conference on the Year 2000 —</w:t>
      </w:r>
      <w:r>
        <w:t xml:space="preserve"> </w:t>
      </w:r>
      <w:r>
        <w:t xml:space="preserve">“</w:t>
      </w:r>
      <w:r>
        <w:t xml:space="preserve">Hawaii 2000</w:t>
      </w:r>
      <w:r>
        <w:t xml:space="preserve">”</w:t>
      </w:r>
      <w:r>
        <w:t xml:space="preserve"> </w:t>
      </w:r>
      <w:r>
        <w:t xml:space="preserve">— in which more than 700 citizens drafted visions of their state’s future, with Toffler himself among the speakers; Washington State ran</w:t>
      </w:r>
      <w:r>
        <w:t xml:space="preserve"> </w:t>
      </w:r>
      <w:r>
        <w:t xml:space="preserve">“</w:t>
      </w:r>
      <w:r>
        <w:t xml:space="preserve">Alternatives for Washington,</w:t>
      </w:r>
      <w:r>
        <w:t xml:space="preserve">”</w:t>
      </w:r>
      <w:r>
        <w:t xml:space="preserve"> </w:t>
      </w:r>
      <w:r>
        <w:t xml:space="preserve">and a wave of similar exercises followed, chronicled in Clement Bezold’s 1978 anthology</w:t>
      </w:r>
      <w:r>
        <w:t xml:space="preserve"> </w:t>
      </w:r>
      <w:r>
        <w:rPr>
          <w:i/>
        </w:rPr>
        <w:t xml:space="preserve">Anticipatory Democracy</w:t>
      </w:r>
      <w:r>
        <w:t xml:space="preserve">, for which Toffler wrote the introduction. Almost none of it institutionalized. The commissions issued reports, the reports aged, and by the 1980s the movement had subsided into the academic discipline of futures studies. The durable exception sits in Helsinki: in 1993, Finland’s parliament established a standing Committee for the Future — a permanent parliamentary organ since 2000 — that receives the government’s long-term foresight report each electoral term and issues the legislature’s formal response (Eduskunta; UNU-CPR). It is widely cited as the global model of parliamentary foresight, and it is telling that after three decades it is still cited as</w:t>
      </w:r>
      <w:r>
        <w:t xml:space="preserve"> </w:t>
      </w:r>
      <w:r>
        <w:rPr>
          <w:i/>
        </w:rPr>
        <w:t xml:space="preserve">the</w:t>
      </w:r>
      <w:r>
        <w:t xml:space="preserve"> </w:t>
      </w:r>
      <w:r>
        <w:t xml:space="preserve">model, singular. One legislature out of the world’s nearly two hundred built the organ Toffler prescribed for all of them.</w:t>
      </w:r>
    </w:p>
    <w:p>
      <w:pPr>
        <w:pStyle w:val="BodyText"/>
      </w:pPr>
      <w:r>
        <w:t xml:space="preserve">Third test: education in the future tense, the prescription Toffler called central. The rhetoric was adopted wholesale —</w:t>
      </w:r>
      <w:r>
        <w:t xml:space="preserve"> </w:t>
      </w:r>
      <w:r>
        <w:t xml:space="preserve">“</w:t>
      </w:r>
      <w:r>
        <w:t xml:space="preserve">lifelong learning,</w:t>
      </w:r>
      <w:r>
        <w:t xml:space="preserve">”</w:t>
      </w:r>
      <w:r>
        <w:t xml:space="preserve"> </w:t>
      </w:r>
      <w:r>
        <w:t xml:space="preserve">“</w:t>
      </w:r>
      <w:r>
        <w:t xml:space="preserve">learning to learn,</w:t>
      </w:r>
      <w:r>
        <w:t xml:space="preserve">”</w:t>
      </w:r>
      <w:r>
        <w:t xml:space="preserve"> </w:t>
      </w:r>
      <w:r>
        <w:t xml:space="preserve">and</w:t>
      </w:r>
      <w:r>
        <w:t xml:space="preserve"> </w:t>
      </w:r>
      <w:r>
        <w:t xml:space="preserve">“</w:t>
      </w:r>
      <w:r>
        <w:t xml:space="preserve">twenty-first-century skills</w:t>
      </w:r>
      <w:r>
        <w:t xml:space="preserve">”</w:t>
      </w:r>
      <w:r>
        <w:t xml:space="preserve"> </w:t>
      </w:r>
      <w:r>
        <w:t xml:space="preserve">are now the lingua franca of every education ministry and Davos panel, usually garnished with the misattributed quote. The delivery is another matter, and here the data are unusually blunt. The World Economic Forum’s Future of Jobs Report 2025, surveying over 1,000 employers across 55 economies, estimates that 39 percent of workers’ core skills will change or become outdated between 2025 and 2030, that 59 of every 100 workers will need reskilling or upskilling by 2030 — and that 11 of those 59 are unlikely to receive it, leaving more than 120 million workers at medium-term risk of redundancy (WEF, 2025). On the supply side, the OECD finds that only about two in five adults across member countries participate in any education or training in a given year, that participation is stagnating or declining in many countries, and that roughly half of adults neither took part in learning nor wanted to (OECD, Education at a Glance 2025; Trends in Adult Learning). Participation runs lowest precisely where Toffler’s logic says the need runs highest: among the low-skilled and displaced. And when the state has intervened directly, results have been sobering. The Labor Department’s gold-standard evaluation of Trade Adjustment Assistance — the flagship program for retraining workers displaced by economic change — found that four years on, TAA participants were earning about $3,300</w:t>
      </w:r>
      <w:r>
        <w:t xml:space="preserve"> </w:t>
      </w:r>
      <w:r>
        <w:rPr>
          <w:i/>
        </w:rPr>
        <w:t xml:space="preserve">less</w:t>
      </w:r>
      <w:r>
        <w:t xml:space="preserve"> </w:t>
      </w:r>
      <w:r>
        <w:t xml:space="preserve">per year than matched comparison workers, having sacrificed earnings to training that the labor market did not reward (Schochet et al., Mathematica/DOL, 2012). The society that made</w:t>
      </w:r>
      <w:r>
        <w:t xml:space="preserve"> </w:t>
      </w:r>
      <w:r>
        <w:t xml:space="preserve">“</w:t>
      </w:r>
      <w:r>
        <w:t xml:space="preserve">learn, unlearn, and relearn</w:t>
      </w:r>
      <w:r>
        <w:t xml:space="preserve">”</w:t>
      </w:r>
      <w:r>
        <w:t xml:space="preserve"> </w:t>
      </w:r>
      <w:r>
        <w:t xml:space="preserve">a poster never built the clinic.</w:t>
      </w:r>
    </w:p>
    <w:p>
      <w:pPr>
        <w:pStyle w:val="BodyText"/>
      </w:pPr>
      <w:r>
        <w:t xml:space="preserve">Fourth test: the personal prescriptions — stability zones, crisis counseling, situational grouping. These were filled beyond anything Toffler imagined, though not by the community institutions he sketched. Consider first who administers crisis counseling now. In 1970,</w:t>
      </w:r>
      <w:r>
        <w:t xml:space="preserve"> </w:t>
      </w:r>
      <w:r>
        <w:t xml:space="preserve">“</w:t>
      </w:r>
      <w:r>
        <w:t xml:space="preserve">licensed professional counselor</w:t>
      </w:r>
      <w:r>
        <w:t xml:space="preserve">”</w:t>
      </w:r>
      <w:r>
        <w:t xml:space="preserve"> </w:t>
      </w:r>
      <w:r>
        <w:t xml:space="preserve">was not a category that existed in American law; Virginia passed the first counselor-licensure act in 1976, and the fiftieth state, California, completed the map in 2009 (ACA,</w:t>
      </w:r>
      <w:r>
        <w:t xml:space="preserve"> </w:t>
      </w:r>
      <w:r>
        <w:rPr>
          <w:i/>
        </w:rPr>
        <w:t xml:space="preserve">Counseling Today</w:t>
      </w:r>
      <w:r>
        <w:t xml:space="preserve">). Today the Bureau of Labor Statistics counts roughly 450,000 substance-abuse, behavioral-disorder, and mental-health counselors and projects 19 percent growth by 2033 — several times the all-occupations average, among the fastest-growing mental-health fields (BLS, 2024). Demand keeps pace: the share of U.S. adults receiving mental-health treatment in the past year rose from 19.2 percent to 23.9 percent just between 2019 and 2023 (CDC/NCHS, 2024). Situational grouping, meanwhile, became so ordinary we forgot it was ever a proposal — the entire ecology of support groups, from divorce recovery to cancer survivorship to twelve-step programs’ post-1970 expansion, is Toffler’s convening of</w:t>
      </w:r>
      <w:r>
        <w:t xml:space="preserve"> </w:t>
      </w:r>
      <w:r>
        <w:t xml:space="preserve">“</w:t>
      </w:r>
      <w:r>
        <w:t xml:space="preserve">people in the same life passage,</w:t>
      </w:r>
      <w:r>
        <w:t xml:space="preserve">”</w:t>
      </w:r>
      <w:r>
        <w:t xml:space="preserve"> </w:t>
      </w:r>
      <w:r>
        <w:t xml:space="preserve">delivered.</w:t>
      </w:r>
    </w:p>
    <w:p>
      <w:pPr>
        <w:pStyle w:val="BodyText"/>
      </w:pPr>
      <w:r>
        <w:t xml:space="preserve">The stability zone had a stranger fate: it was industrialized. Toffler prescribed unchanging anchors as something one keeps — a habit, a marriage, a worn chair. The market instead learned to sell them back, by subscription. The Global Wellness Institute values the wellness economy at $6.3 trillion in 2023, rising to $6.8 trillion in 2024, with the U.S. mental-wellness segment alone worth $125 billion and meditation and mindfulness products growing at 18.9 percent a year — the fastest-growing wellness category after cannabis (GWI, 2024). The purest expression is the meditation app: a $1.6 billion global market in 2024 (Grand View Research), led by Calm — over 133 million downloads and more than four million paying subscribers (Statista, 2024) — an app whose core product is, almost word for word, a personal stability zone: the same voice, the same routine, the same island of non-change, rented monthly and delivered through the very device that produces the overload. Digital-detox retreats, slow-living media, and cottagecore aesthetics round out the catalogue — enclaves of the past, now bookable by the weekend. The prescription was filled; the pharmacist was the market; and the market, unlike Toffler, charges for refills.</w:t>
      </w:r>
    </w:p>
    <w:p>
      <w:pPr>
        <w:pStyle w:val="Heading2"/>
      </w:pPr>
      <w:bookmarkStart w:id="59" w:name="the-finding-5"/>
      <w:r>
        <w:t xml:space="preserve">The Finding</w:t>
      </w:r>
      <w:bookmarkEnd w:id="59"/>
    </w:p>
    <w:p>
      <w:pPr>
        <w:pStyle w:val="FirstParagraph"/>
      </w:pPr>
      <w:r>
        <w:t xml:space="preserve">Line the four tests up and a pattern emerges that organizes the whole scorecard: Toffler’s prescriptions succeeded roughly in proportion to how well they could be sold to an individual, and failed roughly in proportion to how much patience they demanded from an institution. The personal cures — stability zones, counseling, situational grouping — were adopted massively, because a customer in distress is a market, and the therapeutic and wellness industries grew to meet the demand his Part Five predicted. The civic cures — technology assessment, anticipatory democracy, education rebuilt for adaptability — required legislatures and school systems to spend present resources on future constituents, and they were variously ignored, gutted, or adopted as vocabulary only. The OTA arc is the finding in miniature: the one civic prescription America actually swallowed was discontinued after twenty-one years, not because it failed but because its benefits were diffuse and deferred while its cost was a line item.</w:t>
      </w:r>
    </w:p>
    <w:p>
      <w:pPr>
        <w:pStyle w:val="BodyText"/>
      </w:pPr>
      <w:r>
        <w:t xml:space="preserve">What Toffler could not see from 1970 was who would fill his prescriptions. He assumed adaptation would be administered socially — by schools, assemblies, ombudsmen — because in 1970 the ambient institutions were public ones. Instead, adaptation was retailed individually. The counselor arrived, but billed by the hour; the stability zone arrived, but as a $6.8 trillion consumer category with a churn rate; the future-consciousness arrived, but as corporate foresight units and subscription trend reports rather than citizen assemblies. The same market forces that, in Chapter 5’s finding, built the filtration infrastructure that prevented acute future shock also privatized its treatment — and a privatized treatment goes where the purchasing power is, which is why the reskilling gap concentrates among exactly the low-skilled workers the OECD finds least likely to train and most likely to need it.</w:t>
      </w:r>
    </w:p>
    <w:p>
      <w:pPr>
        <w:pStyle w:val="BodyText"/>
      </w:pPr>
      <w:r>
        <w:t xml:space="preserve">The education verdict deserves its own sentence in the discharge summary, because it is the failure with the longest half-life. The system Toffler called backward-facing adopted his language so completely that his (borrowed, misquoted) aphorism became its motto, while the measurable thing — adults actually engaged in continuous relearning — flatlined at two in five and fell among the disadvantaged. The misattribution is the tell. A culture that cared about the treatment would have remembered the physician was quoting a colleague, Herbert Gerjuoy, and would have kept the hard clause about unlearning. It kept the poster instead. Diagnosis confirmed, prescription written, prescription framed and hung on the waiting-room wall, unfilled.</w:t>
      </w:r>
    </w:p>
    <w:p>
      <w:pPr>
        <w:pStyle w:val="Heading2"/>
      </w:pPr>
      <w:bookmarkStart w:id="60" w:name="verdict-5"/>
      <w:r>
        <w:t xml:space="preserve">Verdict</w:t>
      </w:r>
      <w:bookmarkEnd w:id="6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Toffler’s prescription (Part Six)</w:t>
            </w:r>
          </w:p>
        </w:tc>
        <w:tc>
          <w:tcPr>
            <w:tcBorders>
              <w:bottom w:val="single"/>
            </w:tcBorders>
            <w:vAlign w:val="bottom"/>
          </w:tcPr>
          <w:p>
            <w:pPr>
              <w:pStyle w:val="Compact"/>
              <w:jc w:val="left"/>
            </w:pPr>
            <w:r>
              <w:t xml:space="preserve">What happened</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Personal stability zones; enclaves of the past</w:t>
            </w:r>
          </w:p>
        </w:tc>
        <w:tc>
          <w:p>
            <w:pPr>
              <w:pStyle w:val="Compact"/>
              <w:jc w:val="left"/>
            </w:pPr>
            <w:r>
              <w:t xml:space="preserve">Adopted at scale, but as a consumer industry: wellness economy $6.3T (2023) → $6.8T (2024); U.S. mental wellness $125B; meditation apps a $1.6B market; Calm 133M+ downloads, 4M+ paid subscribers</w:t>
            </w:r>
          </w:p>
        </w:tc>
        <w:tc>
          <w:p>
            <w:pPr>
              <w:pStyle w:val="Compact"/>
              <w:jc w:val="left"/>
            </w:pPr>
            <w:r>
              <w:t xml:space="preserve">Mutated</w:t>
            </w:r>
          </w:p>
        </w:tc>
        <w:tc>
          <w:p>
            <w:pPr>
              <w:pStyle w:val="Compact"/>
              <w:jc w:val="left"/>
            </w:pPr>
            <w:r>
              <w:t xml:space="preserve">Global Wellness Institute (2024); Grand View Research (2024)</w:t>
            </w:r>
          </w:p>
        </w:tc>
      </w:tr>
      <w:tr>
        <w:tc>
          <w:p>
            <w:pPr>
              <w:pStyle w:val="Compact"/>
              <w:jc w:val="left"/>
            </w:pPr>
            <w:r>
              <w:t xml:space="preserve">Crisis counseling and situational grouping</w:t>
            </w:r>
          </w:p>
        </w:tc>
        <w:tc>
          <w:p>
            <w:pPr>
              <w:pStyle w:val="Compact"/>
              <w:jc w:val="left"/>
            </w:pPr>
            <w:r>
              <w:t xml:space="preserve">A licensed profession built from zero: first state licensure 1976 (VA), 50th in 2009 (CA); ~450,000 counselors, +19% projected by 2033; adults in mental-health treatment 19.2% → 23.9% (2019–2023); support-group culture universal</w:t>
            </w:r>
          </w:p>
        </w:tc>
        <w:tc>
          <w:p>
            <w:pPr>
              <w:pStyle w:val="Compact"/>
              <w:jc w:val="left"/>
            </w:pPr>
            <w:r>
              <w:t xml:space="preserve">Adopted</w:t>
            </w:r>
          </w:p>
        </w:tc>
        <w:tc>
          <w:p>
            <w:pPr>
              <w:pStyle w:val="Compact"/>
              <w:jc w:val="left"/>
            </w:pPr>
            <w:r>
              <w:t xml:space="preserve">BLS OOH (2024); CDC/NCHS (2024); ACA</w:t>
            </w:r>
          </w:p>
        </w:tc>
      </w:tr>
      <w:tr>
        <w:tc>
          <w:p>
            <w:pPr>
              <w:pStyle w:val="Compact"/>
              <w:jc w:val="left"/>
            </w:pPr>
            <w:r>
              <w:t xml:space="preserve">Education in the future tense; learn, unlearn, relearn</w:t>
            </w:r>
          </w:p>
        </w:tc>
        <w:tc>
          <w:p>
            <w:pPr>
              <w:pStyle w:val="Compact"/>
              <w:jc w:val="left"/>
            </w:pPr>
            <w:r>
              <w:t xml:space="preserve">Adopted as rhetoric, failed as delivery: 59% of workers need reskilling by 2030, 11% unlikely to get it (120M+ at risk); adult-learning participation stuck at ~2 in 5 and stagnating; TAA trainees earned ~$3,300/yr less than comparisons after 4 years</w:t>
            </w:r>
          </w:p>
        </w:tc>
        <w:tc>
          <w:p>
            <w:pPr>
              <w:pStyle w:val="Compact"/>
              <w:jc w:val="left"/>
            </w:pPr>
            <w:r>
              <w:t xml:space="preserve">Failed</w:t>
            </w:r>
          </w:p>
        </w:tc>
        <w:tc>
          <w:p>
            <w:pPr>
              <w:pStyle w:val="Compact"/>
              <w:jc w:val="left"/>
            </w:pPr>
            <w:r>
              <w:t xml:space="preserve">WEF Future of Jobs (2025); OECD (2025); Schochet et al./DOL (2012)</w:t>
            </w:r>
          </w:p>
        </w:tc>
      </w:tr>
      <w:tr>
        <w:tc>
          <w:p>
            <w:pPr>
              <w:pStyle w:val="Compact"/>
              <w:jc w:val="left"/>
            </w:pPr>
            <w:r>
              <w:t xml:space="preserve">Technology assessment bodies; technological ombudsman</w:t>
            </w:r>
          </w:p>
        </w:tc>
        <w:tc>
          <w:p>
            <w:pPr>
              <w:pStyle w:val="Compact"/>
              <w:jc w:val="left"/>
            </w:pPr>
            <w:r>
              <w:t xml:space="preserve">OTA created 1972, ~750 assessments, defunded 1995; model thrived abroad (EPTA, 24 member institutions); GAO rebuilt U.S. capacity via STAA in 2019</w:t>
            </w:r>
          </w:p>
        </w:tc>
        <w:tc>
          <w:p>
            <w:pPr>
              <w:pStyle w:val="Compact"/>
              <w:jc w:val="left"/>
            </w:pPr>
            <w:r>
              <w:t xml:space="preserve">Adopted, then Failed (U.S.); Adopted (Europe)</w:t>
            </w:r>
          </w:p>
        </w:tc>
        <w:tc>
          <w:p>
            <w:pPr>
              <w:pStyle w:val="Compact"/>
              <w:jc w:val="left"/>
            </w:pPr>
            <w:r>
              <w:t xml:space="preserve">CRS R46327; EPTA; GAO (2019)</w:t>
            </w:r>
          </w:p>
        </w:tc>
      </w:tr>
      <w:tr>
        <w:tc>
          <w:p>
            <w:pPr>
              <w:pStyle w:val="Compact"/>
              <w:jc w:val="left"/>
            </w:pPr>
            <w:r>
              <w:t xml:space="preserve">Anticipatory democracy; social future assemblies</w:t>
            </w:r>
          </w:p>
        </w:tc>
        <w:tc>
          <w:p>
            <w:pPr>
              <w:pStyle w:val="Compact"/>
              <w:jc w:val="left"/>
            </w:pPr>
            <w:r>
              <w:t xml:space="preserve">Burst of 1970s experiments (Hawaii 2000, Alternatives for Washington) faded within a decade; Finland’s parliamentary Committee for the Future (1993, permanent 2000) the lone durable national instance</w:t>
            </w:r>
          </w:p>
        </w:tc>
        <w:tc>
          <w:p>
            <w:pPr>
              <w:pStyle w:val="Compact"/>
              <w:jc w:val="left"/>
            </w:pPr>
            <w:r>
              <w:t xml:space="preserve">Ignored</w:t>
            </w:r>
          </w:p>
        </w:tc>
        <w:tc>
          <w:p>
            <w:pPr>
              <w:pStyle w:val="Compact"/>
              <w:jc w:val="left"/>
            </w:pPr>
            <w:r>
              <w:t xml:space="preserve">Bezold (1978); Eduskunta; UNU-CPR</w:t>
            </w:r>
          </w:p>
        </w:tc>
      </w:tr>
    </w:tbl>
    <w:p>
      <w:pPr>
        <w:pStyle w:val="BodyText"/>
      </w:pPr>
      <w:r>
        <w:t xml:space="preserve">The chart on this patient now runs to six chapters: an environment accelerating on every axis, a human organism adapting at chronic cost, and a treatment plan half-filled by the market and half-abandoned by the institutions. Toffler did not stop writing when the first workup was done —</w:t>
      </w:r>
      <w:r>
        <w:t xml:space="preserve"> </w:t>
      </w:r>
      <w:r>
        <w:rPr>
          <w:i/>
        </w:rPr>
        <w:t xml:space="preserve">The Third Wave</w:t>
      </w:r>
      <w:r>
        <w:t xml:space="preserve"> </w:t>
      </w:r>
      <w:r>
        <w:t xml:space="preserve">(1980) and</w:t>
      </w:r>
      <w:r>
        <w:t xml:space="preserve"> </w:t>
      </w:r>
      <w:r>
        <w:rPr>
          <w:i/>
        </w:rPr>
        <w:t xml:space="preserve">Powershift</w:t>
      </w:r>
      <w:r>
        <w:t xml:space="preserve"> </w:t>
      </w:r>
      <w:r>
        <w:t xml:space="preserve">(1990) extended the diagnosis from pace to structure to power. And the presenting condition has changed: the machine at the center of the acceleration now learns, unlearns, and relearns faster than the patient, and the technologies his ombudsman was meant to screen have begun writing their own assessments. The next chapter reads the trilogy together and asks whether the era of artificial intelligence is Toffler’s story reaching its climax — a Fourth Wave — or a new admission entirely.</w:t>
      </w:r>
    </w:p>
    <w:p>
      <w:pPr>
        <w:pStyle w:val="Heading2"/>
      </w:pPr>
      <w:bookmarkStart w:id="61" w:name="sources-6"/>
      <w:r>
        <w:t xml:space="preserve">Sources</w:t>
      </w:r>
      <w:bookmarkEnd w:id="61"/>
    </w:p>
    <w:p>
      <w:pPr>
        <w:numPr>
          <w:ilvl w:val="0"/>
          <w:numId w:val="1007"/>
        </w:numPr>
        <w:pStyle w:val="Compact"/>
      </w:pPr>
      <w:r>
        <w:t xml:space="preserve">https://www.congress.gov/crs-product/R46327 — CRS Report R46327,</w:t>
      </w:r>
      <w:r>
        <w:t xml:space="preserve"> </w:t>
      </w:r>
      <w:r>
        <w:t xml:space="preserve">“</w:t>
      </w:r>
      <w:r>
        <w:t xml:space="preserve">The Office of Technology Assessment: History, Authorities, Issues, and Options</w:t>
      </w:r>
      <w:r>
        <w:t xml:space="preserve">”</w:t>
      </w:r>
      <w:r>
        <w:t xml:space="preserve">: OTA established by P.L. 92-484 (1972), first funded FY1974, defunded end of 1995, ~750 assessments and related products.</w:t>
      </w:r>
    </w:p>
    <w:p>
      <w:pPr>
        <w:numPr>
          <w:ilvl w:val="0"/>
          <w:numId w:val="1007"/>
        </w:numPr>
        <w:pStyle w:val="Compact"/>
      </w:pPr>
      <w:r>
        <w:t xml:space="preserve">https://govinfo.library.unt.edu/ota/ota72_95.pdf —</w:t>
      </w:r>
      <w:r>
        <w:t xml:space="preserve"> </w:t>
      </w:r>
      <w:r>
        <w:t xml:space="preserve">“</w:t>
      </w:r>
      <w:r>
        <w:t xml:space="preserve">The OTA Legacy</w:t>
      </w:r>
      <w:r>
        <w:t xml:space="preserve">”</w:t>
      </w:r>
      <w:r>
        <w:t xml:space="preserve"> </w:t>
      </w:r>
      <w:r>
        <w:t xml:space="preserve">(UNT archive): agency history and output, 1972–1995.</w:t>
      </w:r>
    </w:p>
    <w:p>
      <w:pPr>
        <w:numPr>
          <w:ilvl w:val="0"/>
          <w:numId w:val="1007"/>
        </w:numPr>
        <w:pStyle w:val="Compact"/>
      </w:pPr>
      <w:r>
        <w:t xml:space="preserve">https://eppic.biz/2020/12/28/im-shocked-i-tell-you-that-famous-toffler-quote-isnt/ — Documentation that the</w:t>
      </w:r>
      <w:r>
        <w:t xml:space="preserve"> </w:t>
      </w:r>
      <w:r>
        <w:t xml:space="preserve">“</w:t>
      </w:r>
      <w:r>
        <w:t xml:space="preserve">illiterate of the 21st century</w:t>
      </w:r>
      <w:r>
        <w:t xml:space="preserve">”</w:t>
      </w:r>
      <w:r>
        <w:t xml:space="preserve"> </w:t>
      </w:r>
      <w:r>
        <w:t xml:space="preserve">quotation is a fused paraphrase; Toffler quoted Herbert Gerjuoy (</w:t>
      </w:r>
      <w:r>
        <w:t xml:space="preserve">“</w:t>
      </w:r>
      <w:r>
        <w:t xml:space="preserve">Tomorrow’s illiterate will not be the man who can’t read; he will be the man who has not learned how to learn</w:t>
      </w:r>
      <w:r>
        <w:t xml:space="preserve">”</w:t>
      </w:r>
      <w:r>
        <w:t xml:space="preserve">) and separately wrote</w:t>
      </w:r>
      <w:r>
        <w:t xml:space="preserve"> </w:t>
      </w:r>
      <w:r>
        <w:t xml:space="preserve">“</w:t>
      </w:r>
      <w:r>
        <w:t xml:space="preserve">learn, unlearn and relearn</w:t>
      </w:r>
      <w:r>
        <w:t xml:space="preserve">”</w:t>
      </w:r>
      <w:r>
        <w:t xml:space="preserve"> </w:t>
      </w:r>
      <w:r>
        <w:t xml:space="preserve">(Future Shock, Bantam ed., p. 414).</w:t>
      </w:r>
    </w:p>
    <w:p>
      <w:pPr>
        <w:numPr>
          <w:ilvl w:val="0"/>
          <w:numId w:val="1007"/>
        </w:numPr>
        <w:pStyle w:val="Compact"/>
      </w:pPr>
      <w:r>
        <w:t xml:space="preserve">https://kottke.org/23/12/learning-unlearning-and-relearning — Corroborating trace of the Gerjuoy attribution and the misquote’s evolution.</w:t>
      </w:r>
    </w:p>
    <w:p>
      <w:pPr>
        <w:numPr>
          <w:ilvl w:val="0"/>
          <w:numId w:val="1007"/>
        </w:numPr>
        <w:pStyle w:val="Compact"/>
      </w:pPr>
      <w:r>
        <w:t xml:space="preserve">https://en.wikipedia.org/wiki/Anticipatory_democracy — Anticipatory democracy: Toffler’s coinage, Hawaii 2000 (1970), Alternatives for Washington, Bezold’s 1978 anthology.</w:t>
      </w:r>
    </w:p>
    <w:p>
      <w:pPr>
        <w:numPr>
          <w:ilvl w:val="0"/>
          <w:numId w:val="1007"/>
        </w:numPr>
        <w:pStyle w:val="Compact"/>
      </w:pPr>
      <w:r>
        <w:t xml:space="preserve">https://jfsdigital.org/wp-content/uploads/2014/01/152-S06.pdf — Bezold,</w:t>
      </w:r>
      <w:r>
        <w:t xml:space="preserve"> </w:t>
      </w:r>
      <w:r>
        <w:t xml:space="preserve">“</w:t>
      </w:r>
      <w:r>
        <w:t xml:space="preserve">Anticipatory Democracy and Aspirational Futures</w:t>
      </w:r>
      <w:r>
        <w:t xml:space="preserve">”</w:t>
      </w:r>
      <w:r>
        <w:t xml:space="preserve"> </w:t>
      </w:r>
      <w:r>
        <w:t xml:space="preserve">(Journal of Futures Studies, 2010): history of 1970s participatory-futures experiments, including Hawaii 2000’s ~700 participants, and their fade.</w:t>
      </w:r>
    </w:p>
    <w:p>
      <w:pPr>
        <w:numPr>
          <w:ilvl w:val="0"/>
          <w:numId w:val="1007"/>
        </w:numPr>
        <w:pStyle w:val="Compact"/>
      </w:pPr>
      <w:r>
        <w:t xml:space="preserve">https://www.eduskunta.fi/EN/valiokunnat/tulevaisuusvaliokunta/Pages/default.aspx — Parliament of Finland, Committee for the Future: established 1993, permanent status 2000.</w:t>
      </w:r>
    </w:p>
    <w:p>
      <w:pPr>
        <w:numPr>
          <w:ilvl w:val="0"/>
          <w:numId w:val="1007"/>
        </w:numPr>
        <w:pStyle w:val="Compact"/>
      </w:pPr>
      <w:r>
        <w:t xml:space="preserve">https://unu.edu/cpr/blog-post/parliamentary-committees-future-legislative-movement-overcome-political-myopia — UNU-CPR on Finland’s committee as the global model for parliamentary foresight.</w:t>
      </w:r>
    </w:p>
    <w:p>
      <w:pPr>
        <w:numPr>
          <w:ilvl w:val="0"/>
          <w:numId w:val="1007"/>
        </w:numPr>
        <w:pStyle w:val="Compact"/>
      </w:pPr>
      <w:r>
        <w:t xml:space="preserve">https://eptanetwork.org/ — European Parliamentary Technology Assessment network: founded 1990, 24 member institutions; GAO listed as associate member.</w:t>
      </w:r>
    </w:p>
    <w:p>
      <w:pPr>
        <w:numPr>
          <w:ilvl w:val="0"/>
          <w:numId w:val="1007"/>
        </w:numPr>
        <w:pStyle w:val="Compact"/>
      </w:pPr>
      <w:r>
        <w:t xml:space="preserve">https://www.gao.gov/blog/2019/01/29/our-new-science-technology-assessment-and-analytics-team — GAO (Jan 2019): launch of the Science, Technology Assessment, and Analytics (STAA) team, restoring congressional technology-assessment capacity.</w:t>
      </w:r>
    </w:p>
    <w:p>
      <w:pPr>
        <w:numPr>
          <w:ilvl w:val="0"/>
          <w:numId w:val="1007"/>
        </w:numPr>
        <w:pStyle w:val="Compact"/>
      </w:pPr>
      <w:r>
        <w:t xml:space="preserve">https://www.weforum.org/press/2025/01/future-of-jobs-report-2025-78-million-new-job-opportunities-by-2030-but-urgent-upskilling-needed-to-prepare-workforces/ — WEF Future of Jobs Report 2025: 39% of core skills to change 2025–2030; 59 of 100 workers need training by 2030, 11 unlikely to receive it (&gt;120M at risk); 1,000+ employers, 55 economies.</w:t>
      </w:r>
    </w:p>
    <w:p>
      <w:pPr>
        <w:numPr>
          <w:ilvl w:val="0"/>
          <w:numId w:val="1007"/>
        </w:numPr>
        <w:pStyle w:val="Compact"/>
      </w:pPr>
      <w:r>
        <w:t xml:space="preserve">https://www.oecd.org/en/publications/2025/09/education-at-a-glance-2025_c58fc9ae/full-report/to-what-extent-do-adults-participate-in-education-and-training_85e1ebf6.html — OECD Education at a Glance 2025: ~two in five adults participate in education/training in a given year; participation lowest among low-skilled adults.</w:t>
      </w:r>
    </w:p>
    <w:p>
      <w:pPr>
        <w:numPr>
          <w:ilvl w:val="0"/>
          <w:numId w:val="1007"/>
        </w:numPr>
        <w:pStyle w:val="Compact"/>
      </w:pPr>
      <w:r>
        <w:t xml:space="preserve">https://www.oecd.org/en/publications/trends-in-adult-learning_ec0624a6-en.html — OECD, Trends in Adult Learning: participation stagnating or declining in many countries; about half of adults neither participated in nor wanted learning.</w:t>
      </w:r>
    </w:p>
    <w:p>
      <w:pPr>
        <w:numPr>
          <w:ilvl w:val="0"/>
          <w:numId w:val="1007"/>
        </w:numPr>
        <w:pStyle w:val="Compact"/>
      </w:pPr>
      <w:r>
        <w:t xml:space="preserve">https://clear.dol.gov/study/estimated-impacts-participants-trade-adjustment-assistance-taa-program-under-2002-amendments — Schochet et al. (Mathematica for DOL, 2012), TAA impact evaluation: participants earned ~$3,273 less than matched comparisons in year four.</w:t>
      </w:r>
    </w:p>
    <w:p>
      <w:pPr>
        <w:numPr>
          <w:ilvl w:val="0"/>
          <w:numId w:val="1007"/>
        </w:numPr>
        <w:pStyle w:val="Compact"/>
      </w:pPr>
      <w:r>
        <w:t xml:space="preserve">https://ctarchive.counseling.org/2009/12/counseling-profession-reaches-the-big-5-0/ — American Counseling Association, Counseling Today: Virginia passed the first counselor-licensure law (1976); California became the 50th state (2009).</w:t>
      </w:r>
    </w:p>
    <w:p>
      <w:pPr>
        <w:numPr>
          <w:ilvl w:val="0"/>
          <w:numId w:val="1007"/>
        </w:numPr>
        <w:pStyle w:val="Compact"/>
      </w:pPr>
      <w:r>
        <w:t xml:space="preserve">https://www.bls.gov/ooh/community-and-social-service/substance-abuse-behavioral-disorder-and-mental-health-counselors.htm — BLS Occupational Outlook Handbook: ~450,000 substance abuse, behavioral disorder, and mental health counselors (2023), projected +19% to 2033 (~534,000).</w:t>
      </w:r>
    </w:p>
    <w:p>
      <w:pPr>
        <w:numPr>
          <w:ilvl w:val="0"/>
          <w:numId w:val="1007"/>
        </w:numPr>
        <w:pStyle w:val="Compact"/>
      </w:pPr>
      <w:r>
        <w:t xml:space="preserve">https://www.bls.gov/opub/ted/2024/strong-growth-projected-in-mental-health-related-employment.htm — BLS (2024): mental-health occupations projected to grow roughly three times the all-occupations rate.</w:t>
      </w:r>
    </w:p>
    <w:p>
      <w:pPr>
        <w:numPr>
          <w:ilvl w:val="0"/>
          <w:numId w:val="1007"/>
        </w:numPr>
        <w:pStyle w:val="Compact"/>
      </w:pPr>
      <w:r>
        <w:t xml:space="preserve">https://www.cdc.gov/mmwr/volumes/73/wr/mm7350a5.htm — CDC/NCHS QuickStats (2024), NHIS data: adults receiving any mental-health treatment in past 12 months rose 19.2% (2019) → 23.9% (2023).</w:t>
      </w:r>
    </w:p>
    <w:p>
      <w:pPr>
        <w:numPr>
          <w:ilvl w:val="0"/>
          <w:numId w:val="1007"/>
        </w:numPr>
        <w:pStyle w:val="Compact"/>
      </w:pPr>
      <w:r>
        <w:t xml:space="preserve">https://globalwellnessinstitute.org/press-room/press-releases/the-global-wellness-economy-reaches-a-new-peak-of-6-3-trillion-and-is-forecast-to-hit-9-trillion-by-2028/ — Global Wellness Institute: wellness economy $6.3 trillion (2023).</w:t>
      </w:r>
    </w:p>
    <w:p>
      <w:pPr>
        <w:numPr>
          <w:ilvl w:val="0"/>
          <w:numId w:val="1007"/>
        </w:numPr>
        <w:pStyle w:val="Compact"/>
      </w:pPr>
      <w:r>
        <w:t xml:space="preserve">https://globalwellnessinstitute.org/press-room/press-releases/the-global-wellness-economy-hits-a-record-6-8-trillion-and-is-forecast-to-reach-9-8-trillion-by-2029/ — Global Wellness Institute: wellness economy $6.8 trillion (2024); U.S. mental wellness market $125B; meditation/mindfulness segment growing 18.9%/yr.</w:t>
      </w:r>
    </w:p>
    <w:p>
      <w:pPr>
        <w:numPr>
          <w:ilvl w:val="0"/>
          <w:numId w:val="1007"/>
        </w:numPr>
        <w:pStyle w:val="Compact"/>
      </w:pPr>
      <w:r>
        <w:t xml:space="preserve">https://www.grandviewresearch.com/industry-analysis/meditation-management-apps-market-report — Grand View Research: global meditation-apps market ~$1.6B (2024).</w:t>
      </w:r>
    </w:p>
    <w:p>
      <w:pPr>
        <w:numPr>
          <w:ilvl w:val="0"/>
          <w:numId w:val="1007"/>
        </w:numPr>
        <w:pStyle w:val="Compact"/>
      </w:pPr>
      <w:r>
        <w:t xml:space="preserve">https://www.statista.com/topics/11045/meditation-and-mental-wellness-apps/ — Statista: Calm downloads (133M+ by 2023) and paid-subscriber (4M+) figures; app revenue leadership.</w:t>
      </w:r>
    </w:p>
    <w:p>
      <w:pPr>
        <w:pStyle w:val="Heading1"/>
      </w:pPr>
      <w:bookmarkStart w:id="62" w:name="X9dac1065af9e52be7448bf59ce18f3b55165c36"/>
      <w:r>
        <w:t xml:space="preserve">Chapter 7 — The Fourth Wave: What Toffler Couldn’t See</w:t>
      </w:r>
      <w:bookmarkEnd w:id="62"/>
    </w:p>
    <w:p>
      <w:pPr>
        <w:pStyle w:val="Heading2"/>
      </w:pPr>
      <w:bookmarkStart w:id="63" w:name="the-claim-6"/>
      <w:r>
        <w:t xml:space="preserve">The Claim</w:t>
      </w:r>
      <w:bookmarkEnd w:id="63"/>
    </w:p>
    <w:p>
      <w:pPr>
        <w:pStyle w:val="FirstParagraph"/>
      </w:pPr>
      <w:r>
        <w:t xml:space="preserve">Every chapter to this point has audited a single book. This one audits a career, because Toffler did what a conscientious physician does after filing a diagnosis: he followed the patient.</w:t>
      </w:r>
      <w:r>
        <w:t xml:space="preserve"> </w:t>
      </w:r>
      <w:r>
        <w:rPr>
          <w:i/>
        </w:rPr>
        <w:t xml:space="preserve">Future Shock</w:t>
      </w:r>
      <w:r>
        <w:t xml:space="preserve"> </w:t>
      </w:r>
      <w:r>
        <w:t xml:space="preserve">(1970) was the presenting exam. Over the next thirty-six years he issued two major follow-up consultations and a late addendum, and it is the follow-ups — not the famous first opinion — that make the sharpest claims about the world we now inhabit.</w:t>
      </w:r>
    </w:p>
    <w:p>
      <w:pPr>
        <w:pStyle w:val="BodyText"/>
      </w:pPr>
      <w:r>
        <w:rPr>
          <w:i/>
        </w:rPr>
        <w:t xml:space="preserve">The Third Wave</w:t>
      </w:r>
      <w:r>
        <w:t xml:space="preserve"> </w:t>
      </w:r>
      <w:r>
        <w:t xml:space="preserve">(1980) reorganized the diagnosis into deep history. Human civilization, Toffler argued, has moved in three great waves: an agricultural wave lasting some ten thousand years, an industrial wave lasting roughly three hundred, and a third wave — informational, post-industrial — arriving at speed. The industrial wave had been built on a code of massification: mass production, mass media, mass education, the standardized life. The third wave would run that code in reverse. He predicted the</w:t>
      </w:r>
      <w:r>
        <w:t xml:space="preserve"> </w:t>
      </w:r>
      <w:r>
        <w:t xml:space="preserve">“</w:t>
      </w:r>
      <w:r>
        <w:t xml:space="preserve">de-massification</w:t>
      </w:r>
      <w:r>
        <w:t xml:space="preserve">”</w:t>
      </w:r>
      <w:r>
        <w:t xml:space="preserve"> </w:t>
      </w:r>
      <w:r>
        <w:t xml:space="preserve">of media and markets into narrow segments; the return of work from the factory and office to the home, in what he called</w:t>
      </w:r>
      <w:r>
        <w:t xml:space="preserve"> </w:t>
      </w:r>
      <w:r>
        <w:t xml:space="preserve">“</w:t>
      </w:r>
      <w:r>
        <w:t xml:space="preserve">the electronic cottage</w:t>
      </w:r>
      <w:r>
        <w:t xml:space="preserve">”</w:t>
      </w:r>
      <w:r>
        <w:t xml:space="preserve">; and the rise of a figure he named the</w:t>
      </w:r>
      <w:r>
        <w:t xml:space="preserve"> </w:t>
      </w:r>
      <w:r>
        <w:t xml:space="preserve">“</w:t>
      </w:r>
      <w:r>
        <w:t xml:space="preserve">prosumer</w:t>
      </w:r>
      <w:r>
        <w:t xml:space="preserve">”</w:t>
      </w:r>
      <w:r>
        <w:t xml:space="preserve"> </w:t>
      </w:r>
      <w:r>
        <w:t xml:space="preserve">— a person who produces what he consumes, dissolving the industrial-era wall between maker and buyer. Reviewers in 1980 found the electronic cottage the book’s most fanciful chapter.</w:t>
      </w:r>
    </w:p>
    <w:p>
      <w:pPr>
        <w:pStyle w:val="BodyText"/>
      </w:pPr>
      <w:r>
        <w:rPr>
          <w:i/>
        </w:rPr>
        <w:t xml:space="preserve">Powershift</w:t>
      </w:r>
      <w:r>
        <w:t xml:space="preserve"> </w:t>
      </w:r>
      <w:r>
        <w:t xml:space="preserve">(1990) asked what the third wave would do to power itself. Toffler proposed that power has always rested on three sources of unequal quality: violence, the crudest; wealth, more flexible; and knowledge, the highest-quality power of all, because it can be used to persuade rather than coerce and can multiply both force and money. The transition underway, he argued, was a shift in the very basis of power toward knowledge — bringing</w:t>
      </w:r>
      <w:r>
        <w:t xml:space="preserve"> </w:t>
      </w:r>
      <w:r>
        <w:t xml:space="preserve">“</w:t>
      </w:r>
      <w:r>
        <w:t xml:space="preserve">info-wars</w:t>
      </w:r>
      <w:r>
        <w:t xml:space="preserve">”</w:t>
      </w:r>
      <w:r>
        <w:t xml:space="preserve"> </w:t>
      </w:r>
      <w:r>
        <w:t xml:space="preserve">over data and standards, and elevating a new working class he called the</w:t>
      </w:r>
      <w:r>
        <w:t xml:space="preserve"> </w:t>
      </w:r>
      <w:r>
        <w:t xml:space="preserve">“</w:t>
      </w:r>
      <w:r>
        <w:t xml:space="preserve">cognitariat,</w:t>
      </w:r>
      <w:r>
        <w:t xml:space="preserve">”</w:t>
      </w:r>
      <w:r>
        <w:t xml:space="preserve"> </w:t>
      </w:r>
      <w:r>
        <w:t xml:space="preserve">workers whose capital sits between their ears. And he made one claim with real moral weight: knowledge is the most</w:t>
      </w:r>
      <w:r>
        <w:t xml:space="preserve"> </w:t>
      </w:r>
      <w:r>
        <w:rPr>
          <w:i/>
        </w:rPr>
        <w:t xml:space="preserve">democratic</w:t>
      </w:r>
      <w:r>
        <w:t xml:space="preserve"> </w:t>
      </w:r>
      <w:r>
        <w:t xml:space="preserve">source of power, because unlike a gun or a fortune it can, in principle, be possessed by the weak and the poor, and using it does not use it up.</w:t>
      </w:r>
    </w:p>
    <w:p>
      <w:pPr>
        <w:pStyle w:val="BodyText"/>
      </w:pPr>
      <w:r>
        <w:rPr>
          <w:i/>
        </w:rPr>
        <w:t xml:space="preserve">Revolutionary Wealth</w:t>
      </w:r>
      <w:r>
        <w:t xml:space="preserve"> </w:t>
      </w:r>
      <w:r>
        <w:t xml:space="preserve">(2006), written with Heidi Toffler, added the trilogy’s most quotable instrument: institutional clock speeds. Imagine institutions as cars on a highway. Business travels at 100 miles per hour, NGOs at 90, the family at 60, unions at 30, government bureaucracies at 25, the school system at 10, and the law — courts and the body of law together — at 1. The wealth of the future would be governed by de-synchronization: can a 10-mph school prepare people for a 100-mph economy regulated by a 1-mph legal code?</w:t>
      </w:r>
    </w:p>
    <w:p>
      <w:pPr>
        <w:pStyle w:val="BodyText"/>
      </w:pPr>
      <w:r>
        <w:t xml:space="preserve">Read as one argument, the trilogy says: the knowledge economy is coming (1980), it will relocate power (1990), and our institutions are catastrophically mismatched in speed to absorb it (2006). Every step of that argument rests on a single assumption so obvious that Toffler never wrote it down, and therefore never examined it: that the knowledge workers would be human. We now have the data to test all three books — and the assumption underneath them.</w:t>
      </w:r>
    </w:p>
    <w:p>
      <w:pPr>
        <w:pStyle w:val="Heading2"/>
      </w:pPr>
      <w:bookmarkStart w:id="64" w:name="the-tests-6"/>
      <w:r>
        <w:t xml:space="preserve">The Tests</w:t>
      </w:r>
      <w:bookmarkEnd w:id="64"/>
    </w:p>
    <w:p>
      <w:pPr>
        <w:pStyle w:val="FirstParagraph"/>
      </w:pPr>
      <w:r>
        <w:t xml:space="preserve">The first test takes</w:t>
      </w:r>
      <w:r>
        <w:t xml:space="preserve"> </w:t>
      </w:r>
      <w:r>
        <w:rPr>
          <w:i/>
        </w:rPr>
        <w:t xml:space="preserve">The Third Wave</w:t>
      </w:r>
      <w:r>
        <w:t xml:space="preserve"> </w:t>
      </w:r>
      <w:r>
        <w:t xml:space="preserve">at its most ridiculed and checks the electronic cottage against the labor data. For four decades the prediction looked wrong: through 2019, work done from home hovered around 7 percent of paid full days in the United States, and that figure was itself several times the mid-1990s rate (Barrero, Bloom, and Davis, Survey of Working Arrangements and Attitudes). Then the pandemic ran the experiment no policymaker would have ordered. After the emergency spike receded, remote work did not return to baseline; it settled at a new equilibrium of roughly 25 percent of all paid workdays as of 2025 — about three and a half to four times the 2019 level and roughly ten times the mid-1990s level (Barrero, Bloom, and Davis, 2025; Davis, 2026). A quarter of American paid labor is now performed in the electronic cottage. Toffler’s timing was off by a generation and his trigger was wrong — he expected energy costs to drive workers home, not a virus — but the structural claim, that information work would decouple from the industrial workplace, has been measured and confirmed.</w:t>
      </w:r>
    </w:p>
    <w:p>
      <w:pPr>
        <w:pStyle w:val="BodyText"/>
      </w:pPr>
      <w:r>
        <w:t xml:space="preserve">The prosumer test returns numbers Toffler would have struggled to typeset. In 1980 the prosumer was a hobbyist with a home computer kit. In 2025, YouTube reported hosting more than 20 billion videos with about 20 million new uploads every day (YouTube, 2025) — a media library produced overwhelmingly by its own audience, at a rate long estimated at roughly 500 hours of video per minute (Statista, 2022). The same pattern governs software, the third wave’s core good: GitHub counted more than 180 million developer accounts in 2025, with 1.12 billion contributions to public and open-source repositories in that year alone, and roughly 230 new repositories created every minute (GitHub Octoverse, 2025). The world’s largest media catalog and much of its critical software infrastructure are now produced substantially by unpaid or self-directed prosumers. De-massification we have already certified in Chapter 4; the prosumer verdict reads the same way.</w:t>
      </w:r>
    </w:p>
    <w:p>
      <w:pPr>
        <w:pStyle w:val="BodyText"/>
      </w:pPr>
      <w:r>
        <w:t xml:space="preserve">The second test runs</w:t>
      </w:r>
      <w:r>
        <w:t xml:space="preserve"> </w:t>
      </w:r>
      <w:r>
        <w:rPr>
          <w:i/>
        </w:rPr>
        <w:t xml:space="preserve">Powershift</w:t>
      </w:r>
      <w:r>
        <w:t xml:space="preserve"> </w:t>
      </w:r>
      <w:r>
        <w:t xml:space="preserve">against the AI era, and here the chart grows complicated. The shift toward knowledge as the dominant basis of power is easy to confirm — Chapter 1 recorded that 39.4 percent of American adults aged 18 to 64 had used generative AI within two years of ChatGPT’s release (Bick, Blandin, and Deming, NBER, 2024), and the business side is now catching up. The Census Bureau’s Business Trends and Outlook Survey, the largest running measure of firm-level AI use, shows adoption in producing goods and services climbing from 4.6 percent of firms in early 2024 to about 10 percent by September 2025; when the survey broadened its question in late 2025 to AI use in any business function, the figure registered around 18 percent of firms — and 32 percent when weighted by employment, meaning the firms adopting fastest are the ones employing the most people (Census BTOS; Federal Reserve, 2026; Goldschlag, 2026).</w:t>
      </w:r>
    </w:p>
    <w:p>
      <w:pPr>
        <w:pStyle w:val="BodyText"/>
      </w:pPr>
      <w:r>
        <w:t xml:space="preserve">But</w:t>
      </w:r>
      <w:r>
        <w:t xml:space="preserve"> </w:t>
      </w:r>
      <w:r>
        <w:rPr>
          <w:i/>
        </w:rPr>
        <w:t xml:space="preserve">Powershift</w:t>
      </w:r>
      <w:r>
        <w:t xml:space="preserve">’s democratic promise fares differently, because the knowledge economy has split in two. Using machine knowledge has become almost free: the cost of querying a model at GPT-3.5-level capability fell from $20.00 to $0.07 per million tokens between November 2022 and October 2024, a more-than-280-fold collapse in about eighteen months (Stanford AI Index, 2025). Producing machine knowledge has become one of the most capital-intensive activities in economic history. Epoch AI estimates GPT-4’s final training run cost on the order of $80 million, with frontier training costs growing about 2.4 times per year since 2016 and 2026-class runs estimated at $200 to $500 million (Epoch AI, 2024–2026). Nearly 90 percent of notable AI models in 2024 came from industry rather than academia, up from 60 percent the year before (Stanford AI Index, 2025). And the four largest cloud firms — Amazon, Microsoft, Alphabet, and Meta — spent roughly $410 billion on capital expenditure in 2025 and have guided to approximately $725 billion for 2026, overwhelmingly for AI data centers and chips (company guidance via CNBC and Tom’s Hardware, 2026). Knowledge-power at the frontier now has an admission price measured in gigawatts. That is not the weapon of the weak and the poor; it is wealth reconquering the territory Toffler said knowledge had taken from it.</w:t>
      </w:r>
    </w:p>
    <w:p>
      <w:pPr>
        <w:pStyle w:val="BodyText"/>
      </w:pPr>
      <w:r>
        <w:t xml:space="preserve">The third test checks</w:t>
      </w:r>
      <w:r>
        <w:t xml:space="preserve"> </w:t>
      </w:r>
      <w:r>
        <w:rPr>
          <w:i/>
        </w:rPr>
        <w:t xml:space="preserve">Revolutionary Wealth</w:t>
      </w:r>
      <w:r>
        <w:t xml:space="preserve">’s clock speeds, with one honesty note filed first. The most-quoted numbers in this literature — that skills now have a half-life of five years, technical skills two and a half — originate in IBM corporate research and have never, so far as we can verify, been established by peer-reviewed measurement; we treat them as a vendor’s estimate, not a finding (IBM, 2021). The defensible instrument is the World Economic Forum’s employer survey, which asks firms directly what share of their workers’ core skills will change or become outdated within five years. The 2025 edition, covering employers of more than 14 million workers, puts that figure at 39 percent for 2025–2030 — and, notably, the measure has</w:t>
      </w:r>
      <w:r>
        <w:t xml:space="preserve"> </w:t>
      </w:r>
      <w:r>
        <w:rPr>
          <w:i/>
        </w:rPr>
        <w:t xml:space="preserve">fallen</w:t>
      </w:r>
      <w:r>
        <w:t xml:space="preserve"> </w:t>
      </w:r>
      <w:r>
        <w:t xml:space="preserve">from 57 percent in 2020 and 44 percent in 2023, which the WEF attributes partly to workers actually completing more retraining (WEF Future of Jobs, 2025). So the skill treadmill is real but not accelerating without limit. What has plainly worsened is the spread between the lanes. Business AI adoption quadrupled in under two years on the Census series; the law that governs those systems still moves at something like Toffler’s 1 mile per hour — the flagship American statutory framework for AI remains unsettled two decades after</w:t>
      </w:r>
      <w:r>
        <w:t xml:space="preserve"> </w:t>
      </w:r>
      <w:r>
        <w:rPr>
          <w:i/>
        </w:rPr>
        <w:t xml:space="preserve">Revolutionary Wealth</w:t>
      </w:r>
      <w:r>
        <w:t xml:space="preserve"> </w:t>
      </w:r>
      <w:r>
        <w:t xml:space="preserve">named the problem, while a 10-mph education system retrains 50 percent of workers, up from 41 percent two years earlier (WEF, 2025), and calls it progress. De-synchronization was the trilogy’s last diagnosis, and it is the one visibly compounding.</w:t>
      </w:r>
    </w:p>
    <w:p>
      <w:pPr>
        <w:pStyle w:val="Heading2"/>
      </w:pPr>
      <w:bookmarkStart w:id="65" w:name="the-finding-6"/>
      <w:r>
        <w:t xml:space="preserve">The Finding</w:t>
      </w:r>
      <w:bookmarkEnd w:id="65"/>
    </w:p>
    <w:p>
      <w:pPr>
        <w:pStyle w:val="FirstParagraph"/>
      </w:pPr>
      <w:r>
        <w:t xml:space="preserve">Scored book by book, the trilogy holds up better than</w:t>
      </w:r>
      <w:r>
        <w:t xml:space="preserve"> </w:t>
      </w:r>
      <w:r>
        <w:rPr>
          <w:i/>
        </w:rPr>
        <w:t xml:space="preserve">Future Shock</w:t>
      </w:r>
      <w:r>
        <w:t xml:space="preserve"> </w:t>
      </w:r>
      <w:r>
        <w:t xml:space="preserve">itself. The electronic cottage, the prosumer, de-massification, the knowledge-shift in power, the clock-speed mismatch: confirmed, confirmed, confirmed, confirmed, confirmed. If the 1970 volume was a brilliant intuition with uneven evidence, the follow-ups were something rarer — a forecaster revising toward the truth. Artificial intelligence does not merely continue these curves; it intensifies every one of them. It is the electronic cottage’s most powerful tool, the prosumer’s amplifier, the de-massifier that generates a different artifact for every user, and the ultimate escalation of the info-wars</w:t>
      </w:r>
      <w:r>
        <w:t xml:space="preserve"> </w:t>
      </w:r>
      <w:r>
        <w:rPr>
          <w:i/>
        </w:rPr>
        <w:t xml:space="preserve">Powershift</w:t>
      </w:r>
      <w:r>
        <w:t xml:space="preserve"> </w:t>
      </w:r>
      <w:r>
        <w:t xml:space="preserve">predicted.</w:t>
      </w:r>
    </w:p>
    <w:p>
      <w:pPr>
        <w:pStyle w:val="BodyText"/>
      </w:pPr>
      <w:r>
        <w:t xml:space="preserve">And yet the case file now contains a complication Toffler never charted, because it sat beneath his feet. Every book in the trilogy assumes that when power shifts to knowledge, it shifts to the people who hold knowledge — the cognitariat, the symbolic analysts, the mind workers. That assumption has broken. The best-cited estimate of language-model exposure finds that about 80 percent of the U.S. workforce could see at least 10 percent of their tasks affected, roughly 19 percent could see half or more affected, and — the inversion — exposure</w:t>
      </w:r>
      <w:r>
        <w:t xml:space="preserve"> </w:t>
      </w:r>
      <w:r>
        <w:rPr>
          <w:i/>
        </w:rPr>
        <w:t xml:space="preserve">rises</w:t>
      </w:r>
      <w:r>
        <w:t xml:space="preserve"> </w:t>
      </w:r>
      <w:r>
        <w:t xml:space="preserve">with wages and education (Eloundou, Manning, Mishkin, and Rock,</w:t>
      </w:r>
      <w:r>
        <w:t xml:space="preserve"> </w:t>
      </w:r>
      <w:r>
        <w:rPr>
          <w:i/>
        </w:rPr>
        <w:t xml:space="preserve">Science</w:t>
      </w:r>
      <w:r>
        <w:t xml:space="preserve">, 2024). For two centuries automation climbed the ladder from below, taking muscle first. This wave enters at the top. Knowledge work itself has become automatable, which means knowledge is no longer a form of power that only humans can wield, and holding it between your ears is no longer a defensible position.</w:t>
      </w:r>
    </w:p>
    <w:p>
      <w:pPr>
        <w:pStyle w:val="BodyText"/>
      </w:pPr>
      <w:r>
        <w:t xml:space="preserve">This is why</w:t>
      </w:r>
      <w:r>
        <w:t xml:space="preserve"> </w:t>
      </w:r>
      <w:r>
        <w:rPr>
          <w:i/>
        </w:rPr>
        <w:t xml:space="preserve">Powershift</w:t>
      </w:r>
      <w:r>
        <w:t xml:space="preserve">’s most hopeful sentence fails. Knowledge was the most democratic source of power so long as producing it required only a human mind, which every household stocked for free. Once frontier knowledge production requires nine-figure training runs and $725 billion in annual infrastructure, the old hierarchy quietly reasserts itself: wealth buys the machines that make the knowledge that constitutes the power. The use of machine intelligence is being democratized at historic speed — the 280-fold price collapse is real, and it matters. The manufacture of machine intelligence is concentrating at historic speed in the same fiscal year. Both facts appear on the same chart, and the trilogy has no page for their coexistence. Call it what the case notes suggest: a fourth wave, in which the third wave’s defining resource stops being a human monopoly. The physician tracked the disease for thirty-six years and revised well at every visit. What he could not see — what almost no one saw before 2020 — was that the treatment-resistant variable would be the patient’s own replaceability.</w:t>
      </w:r>
    </w:p>
    <w:p>
      <w:pPr>
        <w:pStyle w:val="Heading2"/>
      </w:pPr>
      <w:bookmarkStart w:id="66" w:name="verdict-6"/>
      <w:r>
        <w:t xml:space="preserve">Verdict</w:t>
      </w:r>
      <w:bookmarkEnd w:id="6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Trilogy claim</w:t>
            </w:r>
          </w:p>
        </w:tc>
        <w:tc>
          <w:tcPr>
            <w:tcBorders>
              <w:bottom w:val="single"/>
            </w:tcBorders>
            <w:vAlign w:val="bottom"/>
          </w:tcPr>
          <w:p>
            <w:pPr>
              <w:pStyle w:val="Compact"/>
              <w:jc w:val="left"/>
            </w:pPr>
            <w:r>
              <w:t xml:space="preserve">AI-era data</w:t>
            </w:r>
          </w:p>
        </w:tc>
        <w:tc>
          <w:tcPr>
            <w:tcBorders>
              <w:bottom w:val="single"/>
            </w:tcBorders>
            <w:vAlign w:val="bottom"/>
          </w:tcPr>
          <w:p>
            <w:pPr>
              <w:pStyle w:val="Compact"/>
              <w:jc w:val="left"/>
            </w:pPr>
            <w:r>
              <w:t xml:space="preserve">Verdict</w:t>
            </w:r>
          </w:p>
        </w:tc>
        <w:tc>
          <w:tcPr>
            <w:tcBorders>
              <w:bottom w:val="single"/>
            </w:tcBorders>
            <w:vAlign w:val="bottom"/>
          </w:tcPr>
          <w:p>
            <w:pPr>
              <w:pStyle w:val="Compact"/>
              <w:jc w:val="left"/>
            </w:pPr>
            <w:r>
              <w:t xml:space="preserve">Primary source</w:t>
            </w:r>
          </w:p>
        </w:tc>
      </w:tr>
      <w:tr>
        <w:tc>
          <w:p>
            <w:pPr>
              <w:pStyle w:val="Compact"/>
              <w:jc w:val="left"/>
            </w:pPr>
            <w:r>
              <w:t xml:space="preserve">The electronic cottage: information work returns home (</w:t>
            </w:r>
            <w:r>
              <w:rPr>
                <w:i/>
              </w:rPr>
              <w:t xml:space="preserve">Third Wave</w:t>
            </w:r>
            <w:r>
              <w:t xml:space="preserve">, 1980)</w:t>
            </w:r>
          </w:p>
        </w:tc>
        <w:tc>
          <w:p>
            <w:pPr>
              <w:pStyle w:val="Compact"/>
              <w:jc w:val="left"/>
            </w:pPr>
            <w:r>
              <w:t xml:space="preserve">Work from home rose from ~7% of paid full days (2019) to a stable ~25% by 2025 — ~10x the mid-1990s rate</w:t>
            </w:r>
          </w:p>
        </w:tc>
        <w:tc>
          <w:p>
            <w:pPr>
              <w:pStyle w:val="Compact"/>
              <w:jc w:val="left"/>
            </w:pPr>
            <w:r>
              <w:t xml:space="preserve">Confirmed (50 years late, wrong trigger)</w:t>
            </w:r>
          </w:p>
        </w:tc>
        <w:tc>
          <w:p>
            <w:pPr>
              <w:pStyle w:val="Compact"/>
              <w:jc w:val="left"/>
            </w:pPr>
            <w:r>
              <w:t xml:space="preserve">Barrero, Bloom &amp; Davis, SWAA / WFH Research (2025)</w:t>
            </w:r>
          </w:p>
        </w:tc>
      </w:tr>
      <w:tr>
        <w:tc>
          <w:p>
            <w:pPr>
              <w:pStyle w:val="Compact"/>
              <w:jc w:val="left"/>
            </w:pPr>
            <w:r>
              <w:t xml:space="preserve">The prosumer: consumers become producers at scale (</w:t>
            </w:r>
            <w:r>
              <w:rPr>
                <w:i/>
              </w:rPr>
              <w:t xml:space="preserve">Third Wave</w:t>
            </w:r>
            <w:r>
              <w:t xml:space="preserve">, 1980)</w:t>
            </w:r>
          </w:p>
        </w:tc>
        <w:tc>
          <w:p>
            <w:pPr>
              <w:pStyle w:val="Compact"/>
              <w:jc w:val="left"/>
            </w:pPr>
            <w:r>
              <w:t xml:space="preserve">YouTube: 20B+ videos, ~20M uploads/day (2025); GitHub: 180M+ developers, 1.12B open-source contributions in 2025</w:t>
            </w:r>
          </w:p>
        </w:tc>
        <w:tc>
          <w:p>
            <w:pPr>
              <w:pStyle w:val="Compact"/>
              <w:jc w:val="left"/>
            </w:pPr>
            <w:r>
              <w:t xml:space="preserve">Confirmed</w:t>
            </w:r>
          </w:p>
        </w:tc>
        <w:tc>
          <w:p>
            <w:pPr>
              <w:pStyle w:val="Compact"/>
              <w:jc w:val="left"/>
            </w:pPr>
            <w:r>
              <w:t xml:space="preserve">YouTube (2025); GitHub Octoverse (2025)</w:t>
            </w:r>
          </w:p>
        </w:tc>
      </w:tr>
      <w:tr>
        <w:tc>
          <w:p>
            <w:pPr>
              <w:pStyle w:val="Compact"/>
              <w:jc w:val="left"/>
            </w:pPr>
            <w:r>
              <w:t xml:space="preserve">Power’s basis shifts from violence and wealth to knowledge (</w:t>
            </w:r>
            <w:r>
              <w:rPr>
                <w:i/>
              </w:rPr>
              <w:t xml:space="preserve">Powershift</w:t>
            </w:r>
            <w:r>
              <w:t xml:space="preserve">, 1990)</w:t>
            </w:r>
          </w:p>
        </w:tc>
        <w:tc>
          <w:p>
            <w:pPr>
              <w:pStyle w:val="Compact"/>
              <w:jc w:val="left"/>
            </w:pPr>
            <w:r>
              <w:t xml:space="preserve">Firm AI use rose from 4.6% (early 2024) to ~18% of firms / 32% employment-weighted (2025–26); 39.4% of adults using generative AI within 2 years</w:t>
            </w:r>
          </w:p>
        </w:tc>
        <w:tc>
          <w:p>
            <w:pPr>
              <w:pStyle w:val="Compact"/>
              <w:jc w:val="left"/>
            </w:pPr>
            <w:r>
              <w:t xml:space="preserve">Confirmed</w:t>
            </w:r>
          </w:p>
        </w:tc>
        <w:tc>
          <w:p>
            <w:pPr>
              <w:pStyle w:val="Compact"/>
              <w:jc w:val="left"/>
            </w:pPr>
            <w:r>
              <w:t xml:space="preserve">Census BTOS / Federal Reserve (2026); Bick, Blandin &amp; Deming, NBER (2024)</w:t>
            </w:r>
          </w:p>
        </w:tc>
      </w:tr>
      <w:tr>
        <w:tc>
          <w:p>
            <w:pPr>
              <w:pStyle w:val="Compact"/>
              <w:jc w:val="left"/>
            </w:pPr>
            <w:r>
              <w:t xml:space="preserve">Knowledge is the most democratic source of power — available to the weak and poor (</w:t>
            </w:r>
            <w:r>
              <w:rPr>
                <w:i/>
              </w:rPr>
              <w:t xml:space="preserve">Powershift</w:t>
            </w:r>
            <w:r>
              <w:t xml:space="preserve">, 1990)</w:t>
            </w:r>
          </w:p>
        </w:tc>
        <w:tc>
          <w:p>
            <w:pPr>
              <w:pStyle w:val="Compact"/>
              <w:jc w:val="left"/>
            </w:pPr>
            <w:r>
              <w:t xml:space="preserve">Frontier training runs $200–500M and rising 2.4x/yr; ~90% of notable models from industry; ~$725B hyperscaler capex planned for 2026 — while inference prices fell &gt;280x</w:t>
            </w:r>
          </w:p>
        </w:tc>
        <w:tc>
          <w:p>
            <w:pPr>
              <w:pStyle w:val="Compact"/>
              <w:jc w:val="left"/>
            </w:pPr>
            <w:r>
              <w:t xml:space="preserve">Inverted (use democratized; production captured by wealth)</w:t>
            </w:r>
          </w:p>
        </w:tc>
        <w:tc>
          <w:p>
            <w:pPr>
              <w:pStyle w:val="Compact"/>
              <w:jc w:val="left"/>
            </w:pPr>
            <w:r>
              <w:t xml:space="preserve">Epoch AI (2024–26); Stanford AI Index (2025); CNBC (2026)</w:t>
            </w:r>
          </w:p>
        </w:tc>
      </w:tr>
      <w:tr>
        <w:tc>
          <w:p>
            <w:pPr>
              <w:pStyle w:val="Compact"/>
              <w:jc w:val="left"/>
            </w:pPr>
            <w:r>
              <w:t xml:space="preserve">Institutional clock speeds are dangerously desynchronized — business 100 mph, schools 10, law 1 (</w:t>
            </w:r>
            <w:r>
              <w:rPr>
                <w:i/>
              </w:rPr>
              <w:t xml:space="preserve">Revolutionary Wealth</w:t>
            </w:r>
            <w:r>
              <w:t xml:space="preserve">, 2006)</w:t>
            </w:r>
          </w:p>
        </w:tc>
        <w:tc>
          <w:p>
            <w:pPr>
              <w:pStyle w:val="Compact"/>
              <w:jc w:val="left"/>
            </w:pPr>
            <w:r>
              <w:t xml:space="preserve">Business AI adoption ~quadrupled in under 2 years; 39% of core skills changing by 2030 (down from 57% in 2020 — treadmill real but not runaway); AI law still unsettled</w:t>
            </w:r>
          </w:p>
        </w:tc>
        <w:tc>
          <w:p>
            <w:pPr>
              <w:pStyle w:val="Compact"/>
              <w:jc w:val="left"/>
            </w:pPr>
            <w:r>
              <w:t xml:space="preserve">Confirmed</w:t>
            </w:r>
          </w:p>
        </w:tc>
        <w:tc>
          <w:p>
            <w:pPr>
              <w:pStyle w:val="Compact"/>
              <w:jc w:val="left"/>
            </w:pPr>
            <w:r>
              <w:t xml:space="preserve">Census BTOS (2026); WEF Future of Jobs (2025)</w:t>
            </w:r>
          </w:p>
        </w:tc>
      </w:tr>
      <w:tr>
        <w:tc>
          <w:p>
            <w:pPr>
              <w:pStyle w:val="Compact"/>
              <w:jc w:val="left"/>
            </w:pPr>
            <w:r>
              <w:t xml:space="preserve">Implicit assumption: the knowledge workers remain human (entire trilogy)</w:t>
            </w:r>
          </w:p>
        </w:tc>
        <w:tc>
          <w:p>
            <w:pPr>
              <w:pStyle w:val="Compact"/>
              <w:jc w:val="left"/>
            </w:pPr>
            <w:r>
              <w:t xml:space="preserve">~80% of U.S. workforce has ≥10% of tasks exposed to LLMs; ~19% has ≥50% exposed; exposure rises with wage and education</w:t>
            </w:r>
          </w:p>
        </w:tc>
        <w:tc>
          <w:p>
            <w:pPr>
              <w:pStyle w:val="Compact"/>
              <w:jc w:val="left"/>
            </w:pPr>
            <w:r>
              <w:t xml:space="preserve">Refuted</w:t>
            </w:r>
          </w:p>
        </w:tc>
        <w:tc>
          <w:p>
            <w:pPr>
              <w:pStyle w:val="Compact"/>
              <w:jc w:val="left"/>
            </w:pPr>
            <w:r>
              <w:t xml:space="preserve">Eloundou et al.,</w:t>
            </w:r>
            <w:r>
              <w:t xml:space="preserve"> </w:t>
            </w:r>
            <w:r>
              <w:rPr>
                <w:i/>
              </w:rPr>
              <w:t xml:space="preserve">Science</w:t>
            </w:r>
            <w:r>
              <w:t xml:space="preserve"> </w:t>
            </w:r>
            <w:r>
              <w:t xml:space="preserve">(2024)</w:t>
            </w:r>
          </w:p>
        </w:tc>
      </w:tr>
    </w:tbl>
    <w:p>
      <w:pPr>
        <w:pStyle w:val="BodyText"/>
      </w:pPr>
      <w:r>
        <w:t xml:space="preserve">The chart is now complete. Seven chapters of tests confirm the acceleration, the transience, the de-massification, and the adaptive strain Toffler palpated in 1970; this chapter confirms his follow-up opinions and identifies the one lesion he could not have imaged — a knowledge economy that no longer requires humans to hold the knowledge. A review that ended here would be a diagnosis without orders, and Toffler himself always insisted the point of forecasting was not prophecy but preparation. The Conclusion writes the new prescription: what a 10-mph school, a 1-mph law, and a species of newly redundant knowledge workers should actually do about a 1,000-mph machine.</w:t>
      </w:r>
    </w:p>
    <w:p>
      <w:pPr>
        <w:pStyle w:val="Heading2"/>
      </w:pPr>
      <w:bookmarkStart w:id="67" w:name="sources-7"/>
      <w:r>
        <w:t xml:space="preserve">Sources</w:t>
      </w:r>
      <w:bookmarkEnd w:id="67"/>
    </w:p>
    <w:p>
      <w:pPr>
        <w:numPr>
          <w:ilvl w:val="0"/>
          <w:numId w:val="1008"/>
        </w:numPr>
        <w:pStyle w:val="Compact"/>
      </w:pPr>
      <w:r>
        <w:t xml:space="preserve">https://wfhresearch.com/wp-content/uploads/2023/09/Evolution-of-WFH-3-September-2023.pdf — Barrero, Bloom &amp; Davis,</w:t>
      </w:r>
      <w:r>
        <w:t xml:space="preserve"> </w:t>
      </w:r>
      <w:r>
        <w:t xml:space="preserve">“</w:t>
      </w:r>
      <w:r>
        <w:t xml:space="preserve">The Evolution of Work from Home</w:t>
      </w:r>
      <w:r>
        <w:t xml:space="preserve">”</w:t>
      </w:r>
      <w:r>
        <w:t xml:space="preserve"> </w:t>
      </w:r>
      <w:r>
        <w:t xml:space="preserve">(2023): WFH share of paid full days ~7% in 2019; historical series back to the 1960s.</w:t>
      </w:r>
    </w:p>
    <w:p>
      <w:pPr>
        <w:numPr>
          <w:ilvl w:val="0"/>
          <w:numId w:val="1008"/>
        </w:numPr>
        <w:pStyle w:val="Compact"/>
      </w:pPr>
      <w:r>
        <w:t xml:space="preserve">https://stevenjdavis.com/s/Why-Working-From-Home-Will-Stick-5-February-2026.pdf — Davis (2026 update of Barrero-Bloom-Davis): WFH stabilized at about 25% of all paid workdays as of 2025, roughly 3.5–4x the 2019 level and ~10x the mid-1990s rate. Supports the electronic-cottage test.</w:t>
      </w:r>
    </w:p>
    <w:p>
      <w:pPr>
        <w:numPr>
          <w:ilvl w:val="0"/>
          <w:numId w:val="1008"/>
        </w:numPr>
        <w:pStyle w:val="Compact"/>
      </w:pPr>
      <w:r>
        <w:t xml:space="preserve">https://www.nber.org/papers/w31686 — Barrero, Bloom &amp; Davis,</w:t>
      </w:r>
      <w:r>
        <w:t xml:space="preserve"> </w:t>
      </w:r>
      <w:r>
        <w:t xml:space="preserve">“</w:t>
      </w:r>
      <w:r>
        <w:t xml:space="preserve">The Evolution of Work from Home,</w:t>
      </w:r>
      <w:r>
        <w:t xml:space="preserve">”</w:t>
      </w:r>
      <w:r>
        <w:t xml:space="preserve"> </w:t>
      </w:r>
      <w:r>
        <w:t xml:space="preserve">NBER WP 31686 /</w:t>
      </w:r>
      <w:r>
        <w:t xml:space="preserve"> </w:t>
      </w:r>
      <w:r>
        <w:rPr>
          <w:i/>
        </w:rPr>
        <w:t xml:space="preserve">Journal of Economic Perspectives</w:t>
      </w:r>
      <w:r>
        <w:t xml:space="preserve"> </w:t>
      </w:r>
      <w:r>
        <w:t xml:space="preserve">(2023): SWAA methodology behind the WFH series.</w:t>
      </w:r>
    </w:p>
    <w:p>
      <w:pPr>
        <w:numPr>
          <w:ilvl w:val="0"/>
          <w:numId w:val="1008"/>
        </w:numPr>
        <w:pStyle w:val="Compact"/>
      </w:pPr>
      <w:r>
        <w:t xml:space="preserve">https://blog.youtube/news-and-events/20-years-of-youtube/ — YouTube official 20th-anniversary post (April 2025): more than 20 billion videos hosted; about 20 million uploads per day. Supports prosumption at scale.</w:t>
      </w:r>
    </w:p>
    <w:p>
      <w:pPr>
        <w:numPr>
          <w:ilvl w:val="0"/>
          <w:numId w:val="1008"/>
        </w:numPr>
        <w:pStyle w:val="Compact"/>
      </w:pPr>
      <w:r>
        <w:t xml:space="preserve">https://www.statista.com/statistics/259477/hours-of-video-uploaded-to-youtube-every-minute/ — Statista (2022): ~500 hours of video uploaded to YouTube per minute.</w:t>
      </w:r>
    </w:p>
    <w:p>
      <w:pPr>
        <w:numPr>
          <w:ilvl w:val="0"/>
          <w:numId w:val="1008"/>
        </w:numPr>
        <w:pStyle w:val="Compact"/>
      </w:pPr>
      <w:r>
        <w:t xml:space="preserve">https://octoverse.github.com/ — GitHub Octoverse (2025): 180M+ developer accounts; 1.12 billion contributions to public/open-source repositories in 2025 (+13% YoY); ~230 new repositories per minute; 630M total repositories. Supports prosumption/open-source test.</w:t>
      </w:r>
    </w:p>
    <w:p>
      <w:pPr>
        <w:numPr>
          <w:ilvl w:val="0"/>
          <w:numId w:val="1008"/>
        </w:numPr>
        <w:pStyle w:val="Compact"/>
      </w:pPr>
      <w:r>
        <w:t xml:space="preserve">https://www.census.gov/library/stories/2026/05/ai-use-businesses.html — U.S. Census Bureau, BTOS AI supplement (May 2026 story): 18% of firms used AI in any business function during Nov 2025–Jan 2026; 32% employment-weighted; 22% expected within six months.</w:t>
      </w:r>
    </w:p>
    <w:p>
      <w:pPr>
        <w:numPr>
          <w:ilvl w:val="0"/>
          <w:numId w:val="1008"/>
        </w:numPr>
        <w:pStyle w:val="Compact"/>
      </w:pPr>
      <w:r>
        <w:t xml:space="preserve">https://www.federalreserve.gov/econres/notes/feds-notes/monitoring-ai-adoption-in-the-u-s-economy-20260403.html — Federal Reserve FEDS Note (April 2026),</w:t>
      </w:r>
      <w:r>
        <w:t xml:space="preserve"> </w:t>
      </w:r>
      <w:r>
        <w:t xml:space="preserve">“</w:t>
      </w:r>
      <w:r>
        <w:t xml:space="preserve">Monitoring AI Adoption in the U.S. Economy</w:t>
      </w:r>
      <w:r>
        <w:t xml:space="preserve">”</w:t>
      </w:r>
      <w:r>
        <w:t xml:space="preserve">: BTOS AI-use series rose from 4.6% of firms (early 2024) to ~10% (Sept 2025) under the narrow question; ~17–20% under the broadened question through mid-2026.</w:t>
      </w:r>
    </w:p>
    <w:p>
      <w:pPr>
        <w:numPr>
          <w:ilvl w:val="0"/>
          <w:numId w:val="1008"/>
        </w:numPr>
        <w:pStyle w:val="Compact"/>
      </w:pPr>
      <w:r>
        <w:t xml:space="preserve">https://www.nber.org/papers/w32966 — Bick, Blandin &amp; Deming,</w:t>
      </w:r>
      <w:r>
        <w:t xml:space="preserve"> </w:t>
      </w:r>
      <w:r>
        <w:t xml:space="preserve">“</w:t>
      </w:r>
      <w:r>
        <w:t xml:space="preserve">The Rapid Adoption of Generative AI,</w:t>
      </w:r>
      <w:r>
        <w:t xml:space="preserve">”</w:t>
      </w:r>
      <w:r>
        <w:t xml:space="preserve"> </w:t>
      </w:r>
      <w:r>
        <w:t xml:space="preserve">NBER WP 32966 (2024): 39.4% of U.S. adults 18–64 had used generative AI by August 2024 (carried over from Chapter 1 for continuity).</w:t>
      </w:r>
    </w:p>
    <w:p>
      <w:pPr>
        <w:numPr>
          <w:ilvl w:val="0"/>
          <w:numId w:val="1008"/>
        </w:numPr>
        <w:pStyle w:val="Compact"/>
      </w:pPr>
      <w:r>
        <w:t xml:space="preserve">https://epoch.ai/blog/how-much-does-it-cost-to-train-frontier-ai-models — Epoch AI: amortized hardware + energy cost of frontier final training runs growing ~2.4x/year since 2016; GPT-4 estimated near $80M (~2e25 FLOP).</w:t>
      </w:r>
    </w:p>
    <w:p>
      <w:pPr>
        <w:numPr>
          <w:ilvl w:val="0"/>
          <w:numId w:val="1008"/>
        </w:numPr>
        <w:pStyle w:val="Compact"/>
      </w:pPr>
      <w:r>
        <w:t xml:space="preserve">https://epoch.ai/data-insights/cost-trend-large-scale — Epoch AI data insight: training costs for the largest models doubling roughly every eight months; 2026-class frontier runs estimated at $200–500M.</w:t>
      </w:r>
    </w:p>
    <w:p>
      <w:pPr>
        <w:numPr>
          <w:ilvl w:val="0"/>
          <w:numId w:val="1008"/>
        </w:numPr>
        <w:pStyle w:val="Compact"/>
      </w:pPr>
      <w:r>
        <w:t xml:space="preserve">https://hai.stanford.edu/ai-index/2025-ai-index-report — Stanford HAI, AI Index Report 2025: ~90% of notable AI models in 2024 from industry (vs. 60% in 2023); training compute doubling every ~5 months; inference cost at GPT-3.5-level fell from $20.00 to $0.07 per million tokens (Nov 2022–Oct 2024), &gt;280x.</w:t>
      </w:r>
    </w:p>
    <w:p>
      <w:pPr>
        <w:numPr>
          <w:ilvl w:val="0"/>
          <w:numId w:val="1008"/>
        </w:numPr>
        <w:pStyle w:val="Compact"/>
      </w:pPr>
      <w:r>
        <w:t xml:space="preserve">https://www.cnbc.com/2026/02/06/google-microsoft-meta-amazon-ai-cash.html — CNBC (Feb 2026): combined Microsoft/Amazon/Alphabet/Meta capex approaching $700B guided for 2026, up from ~$410B in 2025, concentrated in AI data centers.</w:t>
      </w:r>
    </w:p>
    <w:p>
      <w:pPr>
        <w:numPr>
          <w:ilvl w:val="0"/>
          <w:numId w:val="1008"/>
        </w:numPr>
        <w:pStyle w:val="Compact"/>
      </w:pPr>
      <w:r>
        <w:t xml:space="preserve">https://www.tomshardware.com/tech-industry/big-tech/big-techs-ai-spending-plans-reach-725-billion — Tom’s Hardware (2026), summarizing analyst tallies of company guidance: ~$725B combined 2026 capex, up ~77% year over year. Supports knowledge-power concentration test.</w:t>
      </w:r>
    </w:p>
    <w:p>
      <w:pPr>
        <w:numPr>
          <w:ilvl w:val="0"/>
          <w:numId w:val="1008"/>
        </w:numPr>
        <w:pStyle w:val="Compact"/>
      </w:pPr>
      <w:r>
        <w:t xml:space="preserve">https://www.science.org/doi/10.1126/science.adj0998 — Eloundou, Manning, Mishkin &amp; Rock,</w:t>
      </w:r>
      <w:r>
        <w:t xml:space="preserve"> </w:t>
      </w:r>
      <w:r>
        <w:t xml:space="preserve">“</w:t>
      </w:r>
      <w:r>
        <w:t xml:space="preserve">GPTs are GPTs,</w:t>
      </w:r>
      <w:r>
        <w:t xml:space="preserve">”</w:t>
      </w:r>
      <w:r>
        <w:t xml:space="preserve"> </w:t>
      </w:r>
      <w:r>
        <w:rPr>
          <w:i/>
        </w:rPr>
        <w:t xml:space="preserve">Science</w:t>
      </w:r>
      <w:r>
        <w:t xml:space="preserve"> </w:t>
      </w:r>
      <w:r>
        <w:t xml:space="preserve">(2024; working paper 2023): ~80% of U.S. workforce with ≥10% of tasks exposed to LLMs; ~19% with ≥50% exposed; exposure rises with wage and education. Supports the refuted human-knowledge-worker assumption.</w:t>
      </w:r>
    </w:p>
    <w:p>
      <w:pPr>
        <w:numPr>
          <w:ilvl w:val="0"/>
          <w:numId w:val="1008"/>
        </w:numPr>
        <w:pStyle w:val="Compact"/>
      </w:pPr>
      <w:r>
        <w:t xml:space="preserve">https://www.weforum.org/publications/the-future-of-jobs-report-2025/ — World Economic Forum, Future of Jobs Report 2025: 39% of workers’ core skills expected to change or become outdated 2025–2030; down from 44% (2023) and 57% (2020); 50% of workers completed training/reskilling vs. 41% in 2023. Supports (and qualifies) the skill half-life test.</w:t>
      </w:r>
    </w:p>
    <w:p>
      <w:pPr>
        <w:numPr>
          <w:ilvl w:val="0"/>
          <w:numId w:val="1008"/>
        </w:numPr>
        <w:pStyle w:val="Compact"/>
      </w:pPr>
      <w:r>
        <w:t xml:space="preserve">https://www.ibm.com/new/training/skills-transformation-2021-workplace — IBM Learning Blog (2021): source of the widely cited</w:t>
      </w:r>
      <w:r>
        <w:t xml:space="preserve"> </w:t>
      </w:r>
      <w:r>
        <w:t xml:space="preserve">“</w:t>
      </w:r>
      <w:r>
        <w:t xml:space="preserve">half-life of skills ~5 years, technical ~2.5 years</w:t>
      </w:r>
      <w:r>
        <w:t xml:space="preserve">”</w:t>
      </w:r>
      <w:r>
        <w:t xml:space="preserve"> </w:t>
      </w:r>
      <w:r>
        <w:t xml:space="preserve">claim; cited in the chapter explicitly as a corporate estimate, not peer-reviewed measurement.</w:t>
      </w:r>
    </w:p>
    <w:p>
      <w:pPr>
        <w:numPr>
          <w:ilvl w:val="0"/>
          <w:numId w:val="1008"/>
        </w:numPr>
        <w:pStyle w:val="Compact"/>
      </w:pPr>
      <w:r>
        <w:t xml:space="preserve">https://en.wikipedia.org/wiki/Revolutionary_Wealth — Summary of Toffler &amp; Toffler,</w:t>
      </w:r>
      <w:r>
        <w:t xml:space="preserve"> </w:t>
      </w:r>
      <w:r>
        <w:rPr>
          <w:i/>
        </w:rPr>
        <w:t xml:space="preserve">Revolutionary Wealth</w:t>
      </w:r>
      <w:r>
        <w:t xml:space="preserve"> </w:t>
      </w:r>
      <w:r>
        <w:t xml:space="preserve">(2006), including the institutional clock-speed schema (business 100 mph, family 60, unions 30, government 25, schools 10, law 1). Book claims verified against this and the archived text at archive.org/details/revolutionarywea0000toff.</w:t>
      </w:r>
    </w:p>
    <w:p>
      <w:pPr>
        <w:pStyle w:val="Heading1"/>
      </w:pPr>
      <w:bookmarkStart w:id="68" w:name="conclusion-a-new-prescription"/>
      <w:r>
        <w:t xml:space="preserve">Conclusion — A New Prescription</w:t>
      </w:r>
      <w:bookmarkEnd w:id="68"/>
    </w:p>
    <w:p>
      <w:pPr>
        <w:pStyle w:val="Heading2"/>
      </w:pPr>
      <w:bookmarkStart w:id="69" w:name="the-case-summary"/>
      <w:r>
        <w:t xml:space="preserve">The Case Summary</w:t>
      </w:r>
      <w:bookmarkEnd w:id="69"/>
    </w:p>
    <w:p>
      <w:pPr>
        <w:pStyle w:val="FirstParagraph"/>
      </w:pPr>
      <w:r>
        <w:t xml:space="preserve">The workup is complete, and the specialist’s obligation now is to read the whole chart at once — not chapter by chapter, but as one patient. Across seven chapters we tested some thirty of Toffler’s major claims against fifty-six years of data, and the verdicts do not scatter randomly. They sort, with almost diagnostic neatness, along a single line.</w:t>
      </w:r>
    </w:p>
    <w:p>
      <w:pPr>
        <w:pStyle w:val="BodyText"/>
      </w:pPr>
      <w:r>
        <w:t xml:space="preserve">On one side of the line sits everything Toffler got right, and the list is long enough to embarrass his condescending obituarists. Change did accelerate where information moves: a technology that reached 100 million people in two months makes Part One look cautious. Permanence did die at the institutional level — the S&amp;P 500 company’s tenure fell by more than half between his generation and ours. The throwaway society arrived by the megatonne; ownership gave way to access; the experience economy he sketched in 1970 was canonized as management doctrine in 1998 by consultants quoting his own chapter. The family diversified almost exactly as he predicted, line by line in the Census tables. The mass audience shattered into subcults, and overchoice — his coinage — became the defining consumer condition of the century. His mechanism held too: change really is a dose, chronic overdose really does surface in population health, and the burned-out worker he described in 1970 received a WHO case definition in 2019. Even the ridiculed follow-up predictions — the electronic cottage, the prosumer, the knowledge-shift in power — eventually returned confirmed, some of them fifty years late but measured and real.</w:t>
      </w:r>
    </w:p>
    <w:p>
      <w:pPr>
        <w:pStyle w:val="BodyText"/>
      </w:pPr>
      <w:r>
        <w:t xml:space="preserve">On the other side of the line sits everything he got wrong, and the wrongness has a shape. The new nomads never came; American mobility fell by more than half after publication. The modular man never came; median job tenure held flat at roughly five years for forty years. The undersea cities, the weather control, the paper clothes never came. The general, civilization-wide acceleration never came — productivity growth peaked around the very year the book went to press. And future shock itself, the</w:t>
      </w:r>
      <w:r>
        <w:t xml:space="preserve"> </w:t>
      </w:r>
      <w:r>
        <w:t xml:space="preserve">“</w:t>
      </w:r>
      <w:r>
        <w:t xml:space="preserve">real sickness</w:t>
      </w:r>
      <w:r>
        <w:t xml:space="preserve">”</w:t>
      </w:r>
      <w:r>
        <w:t xml:space="preserve"> </w:t>
      </w:r>
      <w:r>
        <w:t xml:space="preserve">of the title, never entered any edition of the DSM or the ICD. The symptoms were real; the disease, as named, was not.</w:t>
      </w:r>
    </w:p>
    <w:p>
      <w:pPr>
        <w:pStyle w:val="BodyText"/>
      </w:pPr>
      <w:r>
        <w:t xml:space="preserve">Chapter 1 gave the dividing line its name, and every subsequent chapter met it again: asymmetric acceleration. Bits accelerated; atoms did not. Where a prediction required only a change in what people buy, feel, choose, or agree to, it came true — usually beyond the forecast. Where it required moving matter against energy costs, engineering limits, and regulatory drag, it failed. Toffler stood at the crest of what Robert Gordon calls the special century and extrapolated the whole curve upward, when in fact the curve was splitting under his feet: the transforming energies of the next half-century poured into information and social arrangement while the physical world settled toward stasis. He read the patient’s psychology nearly perfectly and the patient’s physics hardly at all. He mistook a sectoral acceleration for a general one — and, as Chapter 5 concluded, the deeper summary of the whole file is that the mechanism was confirmed while the nosology was refuted.</w:t>
      </w:r>
    </w:p>
    <w:p>
      <w:pPr>
        <w:pStyle w:val="BodyText"/>
      </w:pPr>
      <w:r>
        <w:t xml:space="preserve">Which forces the reviewing physician to revise the diagnosis rather than merely grade it. If the disease were speed itself, the productivity slowdown should have cured it; it did not, because the strain never came from absolute velocity. It comes from a differential. Chapter 5 found the individual paying a chronic adaptive tax — attention fragmenting toward the 47-second screen, stress accumulating where decision load concentrates — not because change is fast in the abstract but because the informational environment turns over faster than the nervous system that must metabolize it. Chapter 7 found the same lesion at civilizational scale, in the Tofflers’ own late instrument: the business firm traveling at 100 miles per hour, the school at 10, the law at 1, and the gap widening as firm-level AI adoption quadrupled in under two years while the statutes governing it remained unwritten. The revised diagnosis, entered here for the record: the condition Toffler called future shock is real, but it is not a disease of acceleration. It is a disease of de-synchronization — the gap between the pace of change and the pace of adaptation, presenting in individuals as chronic stress and in societies as institutional failure. And the arrival of machine intelligence, the fourth wave, is not a new pathogen so much as a sudden, severe widening of the gap: the first technology whose own rate of improvement outruns every institution assigned to absorb it, and the first to enter the labor market from the top, where the knowledge workers — whom every page of the trilogy assumed would be human — turn out to be the most exposed.</w:t>
      </w:r>
    </w:p>
    <w:p>
      <w:pPr>
        <w:pStyle w:val="Heading2"/>
      </w:pPr>
      <w:bookmarkStart w:id="70" w:name="the-prescription"/>
      <w:r>
        <w:t xml:space="preserve">The Prescription</w:t>
      </w:r>
      <w:bookmarkEnd w:id="70"/>
    </w:p>
    <w:p>
      <w:pPr>
        <w:pStyle w:val="FirstParagraph"/>
      </w:pPr>
      <w:r>
        <w:t xml:space="preserve">Before writing new orders, honest practice requires auditing the old ones, and Chapter 6 has done the pharmacy check. The pattern it found governs everything that follows: Toffler’s prescriptions succeeded roughly in proportion to how well they could be sold to an individual, and failed roughly in proportion to how much patience they demanded from an institution. The personal cures were filled beyond his imagining — a counseling profession built from zero to 450,000 practitioners, situational grouping so universal we forgot it was ever a proposal, the stability zone industrialized into a $6.8 trillion wellness economy. The civic cures were ignored, gutted, or adopted as vocabulary only: the Office of Technology Assessment built and then amputated on the eve of the commercial internet; anticipatory democracy reduced to one durable committee in Helsinki; education in the future tense adopted as a poster — a misquoted poster at that — while adult-learning participation flatlined at two in five. A new prescription that ignores this pattern will meet the same fate. So the orders below are written against it: for each tier, not just what to do, but who fills it, and what evidence in this file says it works.</w:t>
      </w:r>
    </w:p>
    <w:p>
      <w:pPr>
        <w:pStyle w:val="BodyText"/>
      </w:pPr>
      <w:r>
        <w:t xml:space="preserve">Begin with the individual, because that is where Toffler began and where the evidence is now strongest. The first order is a reframing the patient has earned. Chapter 2 found that Americans, without anyone prescribing it, already built the largest stability zone in the file: they stopped moving — mobility fell from nearly one in five each year to under one in eleven — and they kept their jobs about as long as their parents did. The anchors held. The churn that remains is overwhelmingly informational, which means the individual prescription should target the informational dose, not the furniture of life. Here Gloria Mark’s two decades of field measurement supply the closest thing this book has to dosage instructions. Attention on a single screen fell from two and a half minutes to 47 seconds; each interruption costs roughly 23 minutes of refocusing; and the interrupted worker completes the task anyway, paying the difference in stress. The treatment that follows is not digital abstinence, which the evidence does not support, but attention hygiene: batch the switching instead of grazing on it, defend unbroken blocks the way one defends sleep, and treat every notification as a 23-minute invoice. The second order concerns filtering, because Chapter 5 found that filtration, not absorption, is how humans actually survived the flood — and Chapter 4 found that most people have delegated the filter to systems optimized for engagement rather than for their interests, with 80 percent of viewing hours flowing from the recommendation rather than the choice. The overchoice literature says paralysis strikes only where options are complex and preferences uncertain; the practical corollary is to decide what you want before entering the aisle, and to choose your filters as deliberately as your food. The third order is Toffler’s own, refiled with one amendment: keep stability zones, but own them. An anchor rented by subscription, delivered through the device that produces the overload, is not an anchor; it is churn wearing the costume of calm. The long marriage, the kept house, the standing Tuesday table — the unpriced permanences are the ones the data on the wellness industry suggest the market cannot sell back to you, which is precisely why they work.</w:t>
      </w:r>
    </w:p>
    <w:p>
      <w:pPr>
        <w:pStyle w:val="BodyText"/>
      </w:pPr>
      <w:r>
        <w:t xml:space="preserve">The institutional tier is where the old prescription failed, and it fails still for the reason the OTA died: the benefits of adaptation-capacity are diffuse and deferred, while its costs are a line item. The orders here are therefore about permanence of funding and clarity of target. For education, stop grading the rhetoric and grade the participation rate. The measurable objective is adult learning as a universal, continuous entitlement — financed, portable, and audited by one number: participation among the low-skilled, which the OECD finds lowest exactly where Toffler’s logic says the need is highest. The file contains both a warning and a proof of concept. The warning is Trade Adjustment Assistance, whose gold-standard evaluation found trainees earning $3,300 less than comparable workers four years on — retraining detached from labor-market demand is not treatment but sedation, and any reskilling entitlement must be built with employers in the room and outcomes tracked. The proof of concept hides in the WEF’s own series: the share of core skills expected to churn fell from 57 percent in 2020 to 39 percent in 2025, partly because the share of workers actually retrained rose from 41 to 50 percent. The treadmill responds to treatment. That is the single most hopeful data point in this book, and it is a rebuke, because it shows the clinic works where anyone bothers to build it. For law and governance, the order is anticipatory capacity with statutory insulation. The United States ran the experiment: it built a working foresight organ, produced 750 assessments with it, defunded it as a symbol in 1995, and spent twenty-four years re-deriving it at the GAO while Europe’s parliamentary-assessment network grew to two dozen institutions. A 1-mph legal system cannot chase a technology that quadruples its adoption in two years artifact by artifact; it must regulate at the level of mechanism and capability rather than product, and it must protect its foresight bodies the way it protects its courts — as infrastructure, not discretionary spending. And the governance object of the fourth wave must include the production layer, not merely the applications, because Chapter 7’s inversion is the central strategic fact of the decade: the use of machine intelligence has been democratized at historic speed while its manufacture concentrates behind nine-figure training runs and $725 billion in annual capital spending. A society that regulates only the chatbot while ignoring the compute has diagnosed the rash and missed the tumor.</w:t>
      </w:r>
    </w:p>
    <w:p>
      <w:pPr>
        <w:pStyle w:val="BodyText"/>
      </w:pPr>
      <w:r>
        <w:t xml:space="preserve">The third tier is the one Toffler cared most about and the one history most completely ignored: anticipatory democracy. The verdict in Chapter 6 was blunt — a burst of experiments in the 1970s, then silence, with Finland’s parliamentary Committee for the Future standing for thirty years as the model everyone cites and no one copies. The prescription now is to copy it, and the reason for optimism is that the copying has quietly begun at a different level. Since Toffler’s death, deliberative bodies of ordinary citizens — selected by lot, briefed by experts, asked to reason about hard questions — have multiplied into the hundreds worldwide, a movement broad enough that the OECD calls it a</w:t>
      </w:r>
      <w:r>
        <w:t xml:space="preserve"> </w:t>
      </w:r>
      <w:r>
        <w:t xml:space="preserve">“</w:t>
      </w:r>
      <w:r>
        <w:t xml:space="preserve">deliberative wave</w:t>
      </w:r>
      <w:r>
        <w:t xml:space="preserve">”</w:t>
      </w:r>
      <w:r>
        <w:t xml:space="preserve"> </w:t>
      </w:r>
      <w:r>
        <w:t xml:space="preserve">(OECD, 2020), and one of them, Ireland’s Citizens’ Assembly, demonstrated that such a body can deliberate a constitutional question and see its recommendation carried through national referendum (Citizens’ Assembly of Ireland, 2016–2018). This is Toffler’s social future assembly, field-tested. What failed in the 1970s was not the idea but the dosing schedule: Hawaii 2000 convened seven hundred citizens once, issued a report, and dissolved. Anticipation episodic is anticipation abandoned. The order, then: every legislature owes its citizens a standing organ of the future on the Finnish pattern — a permanent committee receiving a mandatory foresight report each term and answering it on the record — and every major technological deployment owes the public a deliberative body with the standing to be heard before the deployment, not after, which is all the technological ombudsman ever meant. The machines themselves lower the cost of the remedy they necessitate: the same systems driving the de-synchronization can brief a citizens’ assembly, translate its proceedings, and model the scenarios it debates, for less than any 1970s futures commission spent on postage. Whether they will be used that way is not a forecast this book will make. It is a choice the reader’s institutions have not yet made either way.</w:t>
      </w:r>
    </w:p>
    <w:p>
      <w:pPr>
        <w:pStyle w:val="Heading2"/>
      </w:pPr>
      <w:bookmarkStart w:id="71" w:name="the-chart-is-ours"/>
      <w:r>
        <w:t xml:space="preserve">The Chart Is Ours</w:t>
      </w:r>
      <w:bookmarkEnd w:id="71"/>
    </w:p>
    <w:p>
      <w:pPr>
        <w:pStyle w:val="FirstParagraph"/>
      </w:pPr>
      <w:r>
        <w:t xml:space="preserve">Return, one last time, to the clinical frame, because it was never decoration; it was the book’s method and it is Toffler’s own. A physician examined the patient in 1970 and wrote a chart of extraordinary reach: the diagnosis overstated, the nosology wrong, the mechanism right, the prognosis — read carefully — closer to correct than almost anyone writing that year. He kept following the case for thirty-six years, revising toward the truth at every visit, which is the rarest virtue in his trade. He prescribed, and watched his personal prescriptions filled by a market he had predicted and his civic prescriptions framed, hung on the waiting-room wall, and left unfilled. He died in June 2016 with the follow-up unscheduled. The follow-up is what you have just read.</w:t>
      </w:r>
    </w:p>
    <w:p>
      <w:pPr>
        <w:pStyle w:val="BodyText"/>
      </w:pPr>
      <w:r>
        <w:t xml:space="preserve">The findings, in one paragraph, for the discharge summary. The patient — technological civilization, now two and a half centuries old — presents with chronic adaptive strain, not the acute collapse the original chart feared. The strain is real, measurable in anxiety prevalence, attention fragmentation, and occupational burnout, and it is unevenly distributed, falling heaviest on the young, the low-skilled, and the institutionally abandoned. The underlying condition is not speed but de-synchronization: an informational environment accelerating away from a physical, biological, and legal order that has not kept pace. The condition is manageable — the file contains direct evidence that treatment works where it is actually administered — and it is worsening where treatment has been refused. A new exposure, machine intelligence, has widened the gap faster than any prior agent and has, for the first time, put the patient’s defining capacity in question. Prognosis: guarded, and contingent on compliance.</w:t>
      </w:r>
    </w:p>
    <w:p>
      <w:pPr>
        <w:pStyle w:val="BodyText"/>
      </w:pPr>
      <w:r>
        <w:t xml:space="preserve">That last word is where the book must end, because it is where Toffler ended and where his readers, for fifty-six years, have not.</w:t>
      </w:r>
      <w:r>
        <w:t xml:space="preserve"> </w:t>
      </w:r>
      <w:r>
        <w:rPr>
          <w:i/>
        </w:rPr>
        <w:t xml:space="preserve">Future Shock</w:t>
      </w:r>
      <w:r>
        <w:t xml:space="preserve"> </w:t>
      </w:r>
      <w:r>
        <w:t xml:space="preserve">is remembered as a prediction, and predictions ask nothing of us; they are graded and shelved. But Toffler insisted, on nearly every page of Part Six, that the point of studying the future was not to guess it but to govern it — that a society which can see the wave coming and builds nothing is not a victim of the future but a defaulting patient. The culture kept his slogan and lost his dosage instructions, misattributed quote and all. The correction this review owes him is not a higher grade. It is the practice he actually prescribed: institutions that look forward as a permanent organ of the body politic, education that treats relearning as a public utility, citizens convened as deliberators rather than surveyed as consumers, and individuals who guard their attention and their anchors as the finite clinical resources the data show them to be.</w:t>
      </w:r>
    </w:p>
    <w:p>
      <w:pPr>
        <w:pStyle w:val="BodyText"/>
      </w:pPr>
      <w:r>
        <w:t xml:space="preserve">The patient is still on the table. The physician who first read the case is gone, and no single successor will replace him; the follow-ups from here are not one specialist’s work but a standing rotation, which is to say they are ours. The instruments are better than they have ever been, the mechanism is understood, the treatment has been piloted and shown to take. What remains is the oldest problem in medicine, older than any wave: the prescription only works if the patient fills it. The chart is open. The pen is in our hands.</w:t>
      </w:r>
    </w:p>
    <w:p>
      <w:pPr>
        <w:pStyle w:val="Heading2"/>
      </w:pPr>
      <w:bookmarkStart w:id="72" w:name="sources-8"/>
      <w:r>
        <w:t xml:space="preserve">Sources</w:t>
      </w:r>
      <w:bookmarkEnd w:id="72"/>
    </w:p>
    <w:p>
      <w:pPr>
        <w:pStyle w:val="FirstParagraph"/>
      </w:pPr>
      <w:r>
        <w:t xml:space="preserve">New facts introduced in this chapter only; all other evidence is cited in Chapters 1–7, where its sources appear.</w:t>
      </w:r>
    </w:p>
    <w:p>
      <w:pPr>
        <w:numPr>
          <w:ilvl w:val="0"/>
          <w:numId w:val="1009"/>
        </w:numPr>
        <w:pStyle w:val="Compact"/>
      </w:pPr>
      <w:r>
        <w:t xml:space="preserve">https://www.oecd.org/en/publications/innovative-citizen-participation-and-new-democratic-institutions_339306da-en.html — OECD,</w:t>
      </w:r>
      <w:r>
        <w:t xml:space="preserve"> </w:t>
      </w:r>
      <w:r>
        <w:rPr>
          <w:i/>
        </w:rPr>
        <w:t xml:space="preserve">Innovative Citizen Participation and New Democratic Institutions: Catching the Deliberative Wave</w:t>
      </w:r>
      <w:r>
        <w:t xml:space="preserve"> </w:t>
      </w:r>
      <w:r>
        <w:t xml:space="preserve">(2020): documents the international proliferation of representative deliberative processes (citizens’ assemblies, juries, and panels) since the 1980s, numbering in the hundreds; source of the</w:t>
      </w:r>
      <w:r>
        <w:t xml:space="preserve"> </w:t>
      </w:r>
      <w:r>
        <w:t xml:space="preserve">“</w:t>
      </w:r>
      <w:r>
        <w:t xml:space="preserve">deliberative wave</w:t>
      </w:r>
      <w:r>
        <w:t xml:space="preserve">”</w:t>
      </w:r>
      <w:r>
        <w:t xml:space="preserve"> </w:t>
      </w:r>
      <w:r>
        <w:t xml:space="preserve">characterization.</w:t>
      </w:r>
    </w:p>
    <w:p>
      <w:pPr>
        <w:numPr>
          <w:ilvl w:val="0"/>
          <w:numId w:val="1009"/>
        </w:numPr>
        <w:pStyle w:val="Compact"/>
      </w:pPr>
      <w:r>
        <w:t xml:space="preserve">https://citizensassembly.ie/previous-assemblies/2016-2018-citizens-assembly/ — The Citizens’ Assembly (Ireland), 2016–2018: a 99-member assembly of citizens selected by lot deliberated on the Eighth Amendment; its recommendation preceded and shaped the successful 2018 national referendum — the demonstration case that citizen deliberation can carry through to constitutional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Diagnosis: Cure</dc:title>
  <dc:creator>Russ Riehl</dc:creator>
  <cp:keywords/>
  <dcterms:created xsi:type="dcterms:W3CDTF">2026-07-07T01:02:33Z</dcterms:created>
  <dcterms:modified xsi:type="dcterms:W3CDTF">2026-07-07T01:02:33Z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Draft v3 · July 6, 2026</vt:lpwstr>
  </property>
  <property fmtid="{D5CDD505-2E9C-101B-9397-08002B2CF9AE}" pid="3" name="subtitle">
    <vt:lpwstr>Future Shock at Fifty-Six — A Book-Length Review of Alvin Toffler’s 1970 Diagnosis, and a Prescription for Our Own Accelerating Age</vt:lpwstr>
  </property>
  <property fmtid="{D5CDD505-2E9C-101B-9397-08002B2CF9AE}" pid="4" name="toc">
    <vt:lpwstr>True</vt:lpwstr>
  </property>
  <property fmtid="{D5CDD505-2E9C-101B-9397-08002B2CF9AE}" pid="5" name="toc-depth">
    <vt:lpwstr>1</vt:lpwstr>
  </property>
</Properties>
</file>