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E6AA8D7"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The trending behaviour is positive for both male and female hourly wages</w:t>
      </w:r>
      <w:r w:rsidR="007100F8">
        <w:rPr>
          <w:rFonts w:ascii="Times New Roman" w:hAnsi="Times New Roman" w:cs="Times New Roman"/>
          <w:sz w:val="24"/>
          <w:szCs w:val="24"/>
        </w:rPr>
        <w:t>. H</w:t>
      </w:r>
      <w:r>
        <w:rPr>
          <w:rFonts w:ascii="Times New Roman" w:hAnsi="Times New Roman" w:cs="Times New Roman"/>
          <w:sz w:val="24"/>
          <w:szCs w:val="24"/>
        </w:rPr>
        <w:t xml:space="preserve">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7A97CD52" w:rsidR="008D6637" w:rsidRDefault="00FB35FD"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6041D7" wp14:editId="74E7C5AF">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11A60F36"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w:t>
      </w:r>
      <w:r w:rsidR="007100F8">
        <w:rPr>
          <w:rFonts w:ascii="Times New Roman" w:hAnsi="Times New Roman" w:cs="Times New Roman"/>
          <w:sz w:val="24"/>
          <w:szCs w:val="24"/>
        </w:rPr>
        <w:t>an</w:t>
      </w:r>
      <w:r w:rsidR="004958DF">
        <w:rPr>
          <w:rFonts w:ascii="Times New Roman" w:hAnsi="Times New Roman" w:cs="Times New Roman"/>
          <w:sz w:val="24"/>
          <w:szCs w:val="24"/>
        </w:rPr>
        <w:t xml:space="preserve">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2FA94B65" w:rsidR="00CF659F" w:rsidRDefault="00FB35FD"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5690DDA0" wp14:editId="6047703A">
                  <wp:extent cx="5943600" cy="396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4C2CA37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w:t>
      </w:r>
      <w:r w:rsidR="007100F8">
        <w:rPr>
          <w:rFonts w:ascii="Times New Roman" w:hAnsi="Times New Roman" w:cs="Times New Roman"/>
          <w:sz w:val="24"/>
          <w:szCs w:val="24"/>
        </w:rPr>
        <w:t>an</w:t>
      </w:r>
      <w:r w:rsidR="002B5ECC">
        <w:rPr>
          <w:rFonts w:ascii="Times New Roman" w:hAnsi="Times New Roman" w:cs="Times New Roman"/>
          <w:sz w:val="24"/>
          <w:szCs w:val="24"/>
        </w:rPr>
        <w:t xml:space="preserve">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cyclical components. Try to explain your results: e.g. why there is a positive, negative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50BF4C63" w:rsidR="004C1B7F" w:rsidRDefault="00FB35FD"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F8A1A21" wp14:editId="09D879A4">
                  <wp:extent cx="5943600" cy="396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306E7FB2"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w:t>
      </w:r>
      <w:r w:rsidR="001D7373">
        <w:rPr>
          <w:rFonts w:ascii="Times New Roman" w:hAnsi="Times New Roman" w:cs="Times New Roman"/>
          <w:sz w:val="24"/>
          <w:szCs w:val="24"/>
        </w:rPr>
        <w:t>Uganda,</w:t>
      </w:r>
      <w:r w:rsidR="00782544">
        <w:rPr>
          <w:rFonts w:ascii="Times New Roman" w:hAnsi="Times New Roman" w:cs="Times New Roman"/>
          <w:sz w:val="24"/>
          <w:szCs w:val="24"/>
        </w:rPr>
        <w:t xml:space="preserve">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1.65%, 1.14% and 3.57%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32A802BE"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 xml:space="preserve">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w:t>
      </w:r>
      <w:r w:rsidR="001D7373">
        <w:rPr>
          <w:rFonts w:ascii="Times New Roman" w:hAnsi="Times New Roman" w:cs="Times New Roman"/>
          <w:sz w:val="24"/>
          <w:szCs w:val="24"/>
        </w:rPr>
        <w:t>both</w:t>
      </w:r>
      <w:r>
        <w:rPr>
          <w:rFonts w:ascii="Times New Roman" w:hAnsi="Times New Roman" w:cs="Times New Roman"/>
          <w:sz w:val="24"/>
          <w:szCs w:val="24"/>
        </w:rPr>
        <w:t xml:space="preserve">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 xml:space="preserve">Compute the cyclical component of each series expressed in logs using a quadratic </w:t>
      </w:r>
      <w:r w:rsidR="00F90F07" w:rsidRPr="00F90F07">
        <w:rPr>
          <w:rFonts w:ascii="Times New Roman" w:hAnsi="Times New Roman" w:cs="Times New Roman"/>
          <w:i/>
          <w:iCs/>
          <w:sz w:val="24"/>
          <w:szCs w:val="24"/>
        </w:rPr>
        <w:t>trend and</w:t>
      </w:r>
      <w:r w:rsidR="00F90F07" w:rsidRPr="00F90F07">
        <w:rPr>
          <w:rFonts w:ascii="Times New Roman" w:hAnsi="Times New Roman" w:cs="Times New Roman"/>
          <w:i/>
          <w:iCs/>
          <w:sz w:val="24"/>
          <w:szCs w:val="24"/>
        </w:rPr>
        <w:t xml:space="preserve">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03D2AF9F">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6CB30B70"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1D7373">
        <w:rPr>
          <w:rFonts w:ascii="Times New Roman" w:hAnsi="Times New Roman" w:cs="Times New Roman"/>
          <w:sz w:val="24"/>
          <w:szCs w:val="24"/>
        </w:rPr>
        <w:t xml:space="preserve">see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there is a positive co-movement within the cyclical trend of Ecuador and Bulgaria. This is seen as they both have upwards sloping curves from 1970-1980, 2000-2010 and downwards trending curves from 1990-1998. </w:t>
      </w:r>
      <w:r w:rsidR="007100F8">
        <w:rPr>
          <w:rFonts w:ascii="Times New Roman" w:hAnsi="Times New Roman" w:cs="Times New Roman"/>
          <w:sz w:val="24"/>
          <w:szCs w:val="24"/>
        </w:rPr>
        <w:t>There is</w:t>
      </w:r>
      <w:r w:rsidR="009852B4">
        <w:rPr>
          <w:rFonts w:ascii="Times New Roman" w:hAnsi="Times New Roman" w:cs="Times New Roman"/>
          <w:sz w:val="24"/>
          <w:szCs w:val="24"/>
        </w:rPr>
        <w:t xml:space="preserve">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0D7428DA"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r>
      <w:r w:rsidR="00942F12">
        <w:rPr>
          <w:rFonts w:ascii="Times New Roman" w:hAnsi="Times New Roman" w:cs="Times New Roman"/>
          <w:sz w:val="24"/>
          <w:szCs w:val="24"/>
        </w:rPr>
        <w:t xml:space="preserve">There were no universal drops across all 4 countries, but we do see a </w:t>
      </w:r>
      <w:r>
        <w:rPr>
          <w:rFonts w:ascii="Times New Roman" w:hAnsi="Times New Roman" w:cs="Times New Roman"/>
          <w:sz w:val="24"/>
          <w:szCs w:val="24"/>
        </w:rPr>
        <w:t>major drop in 1998</w:t>
      </w:r>
      <w:r w:rsidR="00942F12">
        <w:rPr>
          <w:rFonts w:ascii="Times New Roman" w:hAnsi="Times New Roman" w:cs="Times New Roman"/>
          <w:sz w:val="24"/>
          <w:szCs w:val="24"/>
        </w:rPr>
        <w:t>, which</w:t>
      </w:r>
      <w:r>
        <w:rPr>
          <w:rFonts w:ascii="Times New Roman" w:hAnsi="Times New Roman" w:cs="Times New Roman"/>
          <w:sz w:val="24"/>
          <w:szCs w:val="24"/>
        </w:rPr>
        <w:t xml:space="preserve"> could be due to the Asian financial crisis</w:t>
      </w:r>
      <w:r w:rsidR="00942F12">
        <w:rPr>
          <w:rFonts w:ascii="Times New Roman" w:hAnsi="Times New Roman" w:cs="Times New Roman"/>
          <w:sz w:val="24"/>
          <w:szCs w:val="24"/>
        </w:rPr>
        <w:t>.</w:t>
      </w:r>
      <w:r>
        <w:rPr>
          <w:rFonts w:ascii="Times New Roman" w:hAnsi="Times New Roman" w:cs="Times New Roman"/>
          <w:sz w:val="24"/>
          <w:szCs w:val="24"/>
        </w:rPr>
        <w:t xml:space="preserve"> </w:t>
      </w:r>
      <w:r w:rsidR="00942F12">
        <w:rPr>
          <w:rFonts w:ascii="Times New Roman" w:hAnsi="Times New Roman" w:cs="Times New Roman"/>
          <w:sz w:val="24"/>
          <w:szCs w:val="24"/>
        </w:rPr>
        <w:t>This</w:t>
      </w:r>
      <w:r>
        <w:rPr>
          <w:rFonts w:ascii="Times New Roman" w:hAnsi="Times New Roman" w:cs="Times New Roman"/>
          <w:sz w:val="24"/>
          <w:szCs w:val="24"/>
        </w:rPr>
        <w:t xml:space="preserve"> would have heavily effected Ecuador and Bulgaria as some of there biggest trade partners (Russia and Brazil) saw their economies go into a free fall. On the other </w:t>
      </w:r>
      <w:r w:rsidR="00942F12">
        <w:rPr>
          <w:rFonts w:ascii="Times New Roman" w:hAnsi="Times New Roman" w:cs="Times New Roman"/>
          <w:sz w:val="24"/>
          <w:szCs w:val="24"/>
        </w:rPr>
        <w:t>hand,</w:t>
      </w:r>
      <w:r>
        <w:rPr>
          <w:rFonts w:ascii="Times New Roman" w:hAnsi="Times New Roman" w:cs="Times New Roman"/>
          <w:sz w:val="24"/>
          <w:szCs w:val="24"/>
        </w:rPr>
        <w:t xml:space="preserve"> Uganda and Guinea-Bissau were relatively unaffected as their major trade partners were in the African continent and </w:t>
      </w:r>
      <w:r w:rsidR="007100F8">
        <w:rPr>
          <w:rFonts w:ascii="Times New Roman" w:hAnsi="Times New Roman" w:cs="Times New Roman"/>
          <w:sz w:val="24"/>
          <w:szCs w:val="24"/>
        </w:rPr>
        <w:t>were not</w:t>
      </w:r>
      <w:r>
        <w:rPr>
          <w:rFonts w:ascii="Times New Roman" w:hAnsi="Times New Roman" w:cs="Times New Roman"/>
          <w:sz w:val="24"/>
          <w:szCs w:val="24"/>
        </w:rPr>
        <w:t xml:space="preserve"> nearly as </w:t>
      </w:r>
      <w:r w:rsidR="007100F8">
        <w:rPr>
          <w:rFonts w:ascii="Times New Roman" w:hAnsi="Times New Roman" w:cs="Times New Roman"/>
          <w:sz w:val="24"/>
          <w:szCs w:val="24"/>
        </w:rPr>
        <w:t>affected</w:t>
      </w:r>
      <w:r>
        <w:rPr>
          <w:rFonts w:ascii="Times New Roman" w:hAnsi="Times New Roman" w:cs="Times New Roman"/>
          <w:sz w:val="24"/>
          <w:szCs w:val="24"/>
        </w:rPr>
        <w:t>.</w:t>
      </w:r>
      <w:r w:rsidR="00942F12">
        <w:rPr>
          <w:rFonts w:ascii="Times New Roman" w:hAnsi="Times New Roman" w:cs="Times New Roman"/>
          <w:sz w:val="24"/>
          <w:szCs w:val="24"/>
        </w:rPr>
        <w:t xml:space="preserve"> Looking at the WTO website we see that all 4 countries WTO</w:t>
      </w:r>
      <w:r w:rsidR="007100F8">
        <w:rPr>
          <w:rFonts w:ascii="Times New Roman" w:hAnsi="Times New Roman" w:cs="Times New Roman"/>
          <w:sz w:val="24"/>
          <w:szCs w:val="24"/>
        </w:rPr>
        <w:t xml:space="preserve"> members but only Ecuador and Bulgaria share </w:t>
      </w:r>
      <w:r w:rsidR="001D7373">
        <w:rPr>
          <w:rFonts w:ascii="Times New Roman" w:hAnsi="Times New Roman" w:cs="Times New Roman"/>
          <w:sz w:val="24"/>
          <w:szCs w:val="24"/>
        </w:rPr>
        <w:t>an</w:t>
      </w:r>
      <w:r w:rsidR="007100F8">
        <w:rPr>
          <w:rFonts w:ascii="Times New Roman" w:hAnsi="Times New Roman" w:cs="Times New Roman"/>
          <w:sz w:val="24"/>
          <w:szCs w:val="24"/>
        </w:rPr>
        <w:t xml:space="preserve"> RTA (EU – Colombia and Peru), whereas Uganda and Guinea-Bissau do not.</w:t>
      </w:r>
    </w:p>
    <w:p w14:paraId="44F2AF8E" w14:textId="68F2E014" w:rsidR="00316AF4" w:rsidRPr="001D7373" w:rsidRDefault="009852B4" w:rsidP="001D7373">
      <w:pPr>
        <w:rPr>
          <w:rFonts w:ascii="Times New Roman" w:hAnsi="Times New Roman" w:cs="Times New Roman"/>
          <w:sz w:val="24"/>
          <w:szCs w:val="24"/>
        </w:rPr>
      </w:pPr>
      <w:r>
        <w:rPr>
          <w:rFonts w:ascii="Times New Roman" w:hAnsi="Times New Roman" w:cs="Times New Roman"/>
          <w:sz w:val="24"/>
          <w:szCs w:val="24"/>
        </w:rPr>
        <w:tab/>
      </w:r>
    </w:p>
    <w:p w14:paraId="5CC72C6A" w14:textId="7C410A9E" w:rsidR="00565EBE" w:rsidRPr="001D7373" w:rsidRDefault="00316AF4" w:rsidP="00316AF4">
      <w:pPr>
        <w:rPr>
          <w:rFonts w:ascii="Times New Roman" w:hAnsi="Times New Roman" w:cs="Times New Roman"/>
          <w:i/>
          <w:iCs/>
          <w:sz w:val="24"/>
          <w:szCs w:val="24"/>
        </w:rPr>
      </w:pPr>
      <w:r w:rsidRPr="001D7373">
        <w:rPr>
          <w:rFonts w:ascii="Times New Roman" w:hAnsi="Times New Roman" w:cs="Times New Roman"/>
          <w:i/>
          <w:iCs/>
          <w:sz w:val="24"/>
          <w:szCs w:val="24"/>
        </w:rPr>
        <w:lastRenderedPageBreak/>
        <w:t>Q4)</w:t>
      </w:r>
      <w:r w:rsidRPr="001D7373">
        <w:rPr>
          <w:rFonts w:ascii="Times New Roman" w:hAnsi="Times New Roman" w:cs="Times New Roman"/>
          <w:b/>
          <w:bCs/>
          <w:i/>
          <w:iCs/>
          <w:sz w:val="24"/>
          <w:szCs w:val="24"/>
        </w:rPr>
        <w:t xml:space="preserve"> </w:t>
      </w:r>
      <w:r w:rsidR="001D7373" w:rsidRPr="001D7373">
        <w:rPr>
          <w:rFonts w:ascii="Times New Roman" w:hAnsi="Times New Roman" w:cs="Times New Roman"/>
          <w:i/>
          <w:iCs/>
          <w:sz w:val="24"/>
          <w:szCs w:val="24"/>
        </w:rPr>
        <w:t>Compute the average annual growth rate between 1970 and 2017 for all four countries. Then, produce a scatter plot with the 1970 real per capita GDP’s expressed in logs on the x-axis and the average growth rates on the y-axis (you should have four points).</w:t>
      </w:r>
      <w:r w:rsidR="001D7373" w:rsidRPr="001D7373">
        <w:rPr>
          <w:rFonts w:ascii="Times New Roman" w:hAnsi="Times New Roman" w:cs="Times New Roman"/>
          <w:sz w:val="24"/>
          <w:szCs w:val="24"/>
        </w:rPr>
        <w:t xml:space="preserve"> </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54E367F3" w:rsidR="00CF659F" w:rsidRDefault="00A71899"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03DDF6A" wp14:editId="6E873AB0">
                  <wp:extent cx="5943600" cy="396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4176BED4" w14:textId="1682593F" w:rsidR="00316AF4" w:rsidRPr="002C158A" w:rsidRDefault="002C158A" w:rsidP="00B21689">
      <w:pPr>
        <w:rPr>
          <w:rFonts w:ascii="Times New Roman" w:hAnsi="Times New Roman" w:cs="Times New Roman"/>
          <w:sz w:val="24"/>
          <w:szCs w:val="24"/>
        </w:rPr>
      </w:pPr>
      <w:r>
        <w:rPr>
          <w:rFonts w:ascii="Times New Roman" w:hAnsi="Times New Roman" w:cs="Times New Roman"/>
          <w:i/>
          <w:iCs/>
          <w:sz w:val="24"/>
          <w:szCs w:val="24"/>
        </w:rPr>
        <w:tab/>
      </w:r>
      <w:r w:rsidR="00B21689">
        <w:rPr>
          <w:rFonts w:ascii="Times New Roman" w:hAnsi="Times New Roman" w:cs="Times New Roman"/>
          <w:sz w:val="24"/>
          <w:szCs w:val="24"/>
        </w:rPr>
        <w:t xml:space="preserve">The four countries are not converging together, we do however notice that within the first group </w:t>
      </w:r>
      <w:r w:rsidR="00B21689">
        <w:rPr>
          <w:rFonts w:ascii="Times New Roman" w:hAnsi="Times New Roman" w:cs="Times New Roman"/>
          <w:sz w:val="24"/>
          <w:szCs w:val="24"/>
        </w:rPr>
        <w:t xml:space="preserve">(Ecuador and Bulgaria) </w:t>
      </w:r>
      <w:r w:rsidR="00B21689">
        <w:rPr>
          <w:rFonts w:ascii="Times New Roman" w:hAnsi="Times New Roman" w:cs="Times New Roman"/>
          <w:sz w:val="24"/>
          <w:szCs w:val="24"/>
        </w:rPr>
        <w:t xml:space="preserve">and second group (Uganda and Guinea-Bissau) that some conditional convergence is happening. We see this as in each group the country with the higher starting GDP in 1970 (Ecuador and </w:t>
      </w:r>
      <w:proofErr w:type="spellStart"/>
      <w:r w:rsidR="00B21689">
        <w:rPr>
          <w:rFonts w:ascii="Times New Roman" w:hAnsi="Times New Roman" w:cs="Times New Roman"/>
          <w:sz w:val="24"/>
          <w:szCs w:val="24"/>
        </w:rPr>
        <w:t>Guinea_Bissau</w:t>
      </w:r>
      <w:proofErr w:type="spellEnd"/>
      <w:r w:rsidR="00B21689">
        <w:rPr>
          <w:rFonts w:ascii="Times New Roman" w:hAnsi="Times New Roman" w:cs="Times New Roman"/>
          <w:sz w:val="24"/>
          <w:szCs w:val="24"/>
        </w:rPr>
        <w:t xml:space="preserve">) have smaller growth rates then their counter parts. Bulgaria has an average </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lastRenderedPageBreak/>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D65A8" w14:textId="77777777" w:rsidR="005120A2" w:rsidRDefault="005120A2" w:rsidP="00EA7B59">
      <w:pPr>
        <w:spacing w:after="0" w:line="240" w:lineRule="auto"/>
      </w:pPr>
      <w:r>
        <w:separator/>
      </w:r>
    </w:p>
  </w:endnote>
  <w:endnote w:type="continuationSeparator" w:id="0">
    <w:p w14:paraId="6F62DBE4" w14:textId="77777777" w:rsidR="005120A2" w:rsidRDefault="005120A2"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FCC55" w14:textId="77777777" w:rsidR="005120A2" w:rsidRDefault="005120A2" w:rsidP="00EA7B59">
      <w:pPr>
        <w:spacing w:after="0" w:line="240" w:lineRule="auto"/>
      </w:pPr>
      <w:r>
        <w:separator/>
      </w:r>
    </w:p>
  </w:footnote>
  <w:footnote w:type="continuationSeparator" w:id="0">
    <w:p w14:paraId="67FAC3CC" w14:textId="77777777" w:rsidR="005120A2" w:rsidRDefault="005120A2"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1D7373"/>
    <w:rsid w:val="00221552"/>
    <w:rsid w:val="00246340"/>
    <w:rsid w:val="002B5ECC"/>
    <w:rsid w:val="002C158A"/>
    <w:rsid w:val="002E49EB"/>
    <w:rsid w:val="00311F3D"/>
    <w:rsid w:val="00316AF4"/>
    <w:rsid w:val="004206EC"/>
    <w:rsid w:val="0044409C"/>
    <w:rsid w:val="004751F1"/>
    <w:rsid w:val="00475D0E"/>
    <w:rsid w:val="00484B37"/>
    <w:rsid w:val="004958DF"/>
    <w:rsid w:val="004C1B7F"/>
    <w:rsid w:val="005120A2"/>
    <w:rsid w:val="00542475"/>
    <w:rsid w:val="00565EBE"/>
    <w:rsid w:val="0057797E"/>
    <w:rsid w:val="00577FD8"/>
    <w:rsid w:val="00580604"/>
    <w:rsid w:val="00583C60"/>
    <w:rsid w:val="00591BA5"/>
    <w:rsid w:val="0059799B"/>
    <w:rsid w:val="005C1E43"/>
    <w:rsid w:val="005D3E93"/>
    <w:rsid w:val="00613679"/>
    <w:rsid w:val="00616968"/>
    <w:rsid w:val="00666842"/>
    <w:rsid w:val="007100F8"/>
    <w:rsid w:val="00782544"/>
    <w:rsid w:val="00790525"/>
    <w:rsid w:val="007B5B66"/>
    <w:rsid w:val="007E66DE"/>
    <w:rsid w:val="008028A7"/>
    <w:rsid w:val="0086004F"/>
    <w:rsid w:val="008663F0"/>
    <w:rsid w:val="008D6637"/>
    <w:rsid w:val="0091277A"/>
    <w:rsid w:val="00942F12"/>
    <w:rsid w:val="009852B4"/>
    <w:rsid w:val="009950C0"/>
    <w:rsid w:val="009A25A6"/>
    <w:rsid w:val="009E2DA3"/>
    <w:rsid w:val="00A438E6"/>
    <w:rsid w:val="00A47D7E"/>
    <w:rsid w:val="00A71899"/>
    <w:rsid w:val="00AA06F8"/>
    <w:rsid w:val="00AC44DD"/>
    <w:rsid w:val="00AE66BF"/>
    <w:rsid w:val="00AF4921"/>
    <w:rsid w:val="00B15602"/>
    <w:rsid w:val="00B21689"/>
    <w:rsid w:val="00B51188"/>
    <w:rsid w:val="00B93FCF"/>
    <w:rsid w:val="00BA7758"/>
    <w:rsid w:val="00C35A05"/>
    <w:rsid w:val="00C710DD"/>
    <w:rsid w:val="00CB3900"/>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90F07"/>
    <w:rsid w:val="00FA2BEB"/>
    <w:rsid w:val="00FB35FD"/>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16</cp:revision>
  <cp:lastPrinted>2020-10-20T07:51:00Z</cp:lastPrinted>
  <dcterms:created xsi:type="dcterms:W3CDTF">2020-10-20T07:52:00Z</dcterms:created>
  <dcterms:modified xsi:type="dcterms:W3CDTF">2020-11-24T21:45:00Z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