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5C99"/>
          <w:sz w:val="52"/>
          <w:szCs w:val="52"/>
        </w:rPr>
        <w:t xml:space="preserve">Análise Geológica das Predições de DT</w:t>
      </w:r>
    </w:p>
    <w:p>
      <w:pPr>
        <w:spacing w:after="600"/>
        <w:jc w:val="center"/>
      </w:pPr>
      <w:r>
        <w:rPr>
          <w:rFonts w:ascii="Arial" w:cs="Arial" w:eastAsia="Arial" w:hAnsi="Arial"/>
          <w:i/>
          <w:iCs/>
          <w:color w:val="404040"/>
          <w:sz w:val="28"/>
          <w:szCs w:val="28"/>
        </w:rPr>
        <w:t xml:space="preserve">Correlação com Litologia, Formação, Profundidade e Bias Direcional</w:t>
      </w:r>
    </w:p>
    <w:p>
      <w:pPr>
        <w:spacing w:after="120"/>
        <w:jc w:val="center"/>
      </w:pPr>
      <w:r>
        <w:rPr>
          <w:rFonts w:ascii="Arial" w:cs="Arial" w:eastAsia="Arial" w:hAnsi="Arial"/>
          <w:color w:val="666666"/>
          <w:sz w:val="22"/>
          <w:szCs w:val="22"/>
        </w:rPr>
        <w:t xml:space="preserve">Modelo: XGBoost  |  Validação: LOWO  |  28 Poços  |  231.815 Amostras</w:t>
      </w:r>
    </w:p>
    <w:p>
      <w:pPr>
        <w:spacing w:after="2880"/>
        <w:jc w:val="center"/>
      </w:pPr>
      <w:r>
        <w:rPr>
          <w:rFonts w:ascii="Arial" w:cs="Arial" w:eastAsia="Arial" w:hAnsi="Arial"/>
          <w:color w:val="666666"/>
          <w:sz w:val="22"/>
          <w:szCs w:val="22"/>
        </w:rPr>
        <w:t xml:space="preserve">Bacia Sergipe-Alagoas, Brasil</w:t>
      </w:r>
    </w:p>
    <w:p>
      <w:pPr>
        <w:spacing w:after="0" w:before="0"/>
      </w:pPr>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1. Contexto e Objetivos</w:t>
      </w:r>
    </w:p>
    <w:p>
      <w:pPr>
        <w:spacing w:after="80" w:before="80"/>
        <w:jc w:val="both"/>
      </w:pPr>
      <w:r>
        <w:rPr>
          <w:rFonts w:ascii="Arial" w:cs="Arial" w:eastAsia="Arial" w:hAnsi="Arial"/>
          <w:color w:val="404040"/>
          <w:sz w:val="22"/>
          <w:szCs w:val="22"/>
        </w:rPr>
        <w:t xml:space="preserve">Este documento registra a análise geológica conduzida no Notebook 14.1, com o objetivo de investigar se fatores geológicos — formação estratigráfica, litologia, profundidade e espessura de camada — influenciam sistematicamente a performance de predição do perfil sônico compressional (DT) pelo modelo XGBoost com validação Leave-One-Well-Out (LOWO) na Bacia Sergipe-Alagoas.</w:t>
      </w:r>
    </w:p>
    <w:p>
      <w:pPr>
        <w:spacing w:after="60" w:before="60"/>
      </w:pPr>
      <w:r>
        <w:t xml:space="preserve"/>
      </w:r>
    </w:p>
    <w:p>
      <w:pPr>
        <w:spacing w:after="80" w:before="80"/>
        <w:jc w:val="both"/>
      </w:pPr>
      <w:r>
        <w:rPr>
          <w:rFonts w:ascii="Arial" w:cs="Arial" w:eastAsia="Arial" w:hAnsi="Arial"/>
          <w:color w:val="404040"/>
          <w:sz w:val="22"/>
          <w:szCs w:val="22"/>
        </w:rPr>
        <w:t xml:space="preserve">A análise foi motivada pela pergunta do orientador: os 4 poços com R² &lt; 0.70 estão em ambientes deposicionais distintos dos demais 24 poços?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F5C99"/>
                <w:sz w:val="22"/>
                <w:szCs w:val="22"/>
              </w:rPr>
              <w:t xml:space="preserve">Dados utilizados</w:t>
            </w:r>
          </w:p>
          <w:p>
            <w:pPr>
              <w:jc w:val="both"/>
            </w:pPr>
            <w:r>
              <w:rPr>
                <w:rFonts w:ascii="Arial" w:cs="Arial" w:eastAsia="Arial" w:hAnsi="Arial"/>
                <w:color w:val="404040"/>
                <w:sz w:val="22"/>
                <w:szCs w:val="22"/>
              </w:rPr>
              <w:t xml:space="preserve">Dataset: 231.815 amostras | 28 poços | 5 formações geológicas
Litologias: 12 litologias mapeadas | Modelo: XGBoost LOWO
R² médio: 0.7941 ± 0.1261 | MAE médio global: 4.47 µs/ft</w:t>
            </w:r>
          </w:p>
        </w:tc>
      </w:tr>
    </w:tbl>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2. Resultado do Benchmark LOWO</w:t>
      </w:r>
    </w:p>
    <w:p>
      <w:pPr>
        <w:pStyle w:val="Heading2"/>
        <w:spacing w:after="120" w:before="280"/>
      </w:pPr>
      <w:r>
        <w:rPr>
          <w:rFonts w:ascii="Arial" w:cs="Arial" w:eastAsia="Arial" w:hAnsi="Arial"/>
          <w:b/>
          <w:bCs/>
          <w:color w:val="404040"/>
          <w:sz w:val="26"/>
          <w:szCs w:val="26"/>
        </w:rPr>
        <w:t xml:space="preserve">2.1 Performance Global</w:t>
      </w:r>
    </w:p>
    <w:p>
      <w:pPr>
        <w:spacing w:after="80" w:before="80"/>
        <w:jc w:val="both"/>
      </w:pPr>
      <w:r>
        <w:rPr>
          <w:rFonts w:ascii="Arial" w:cs="Arial" w:eastAsia="Arial" w:hAnsi="Arial"/>
          <w:color w:val="404040"/>
          <w:sz w:val="22"/>
          <w:szCs w:val="22"/>
        </w:rPr>
        <w:t xml:space="preserve">O XGBoost LOWO atingiu R² médio de 0.7941 com desvio padrão de 0.1261 e IQR de 0.1495. O RMSE médio foi de 4.40 µs/ft e o MAE médio de 3.30 µs/ft. A distribuição de poços por faixa de R² é:</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Faixa de R²</w:t>
            </w:r>
          </w:p>
        </w:tc>
        <w:tc>
          <w:tcPr>
            <w:tcW w:type="dxa" w:w="2763"/>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Poços</w:t>
            </w:r>
          </w:p>
        </w:tc>
        <w:tc>
          <w:tcPr>
            <w:tcW w:type="dxa" w:w="2763"/>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Percentual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R² ≥ 0.75</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20</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0.70 – 0.75</w:t>
            </w:r>
          </w:p>
        </w:tc>
        <w:tc>
          <w:tcPr>
            <w:tcW w:type="dxa" w:w="276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w:t>
            </w:r>
          </w:p>
        </w:tc>
        <w:tc>
          <w:tcPr>
            <w:tcW w:type="dxa" w:w="276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0.50 – 0.70</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R² &lt; 0.50</w:t>
            </w:r>
          </w:p>
        </w:tc>
        <w:tc>
          <w:tcPr>
            <w:tcW w:type="dxa" w:w="276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w:t>
            </w:r>
          </w:p>
        </w:tc>
        <w:tc>
          <w:tcPr>
            <w:tcW w:type="dxa" w:w="276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w:t>
            </w:r>
          </w:p>
        </w:tc>
      </w:tr>
    </w:tbl>
    <w:p>
      <w:pPr>
        <w:spacing w:after="60" w:before="60"/>
      </w:pPr>
      <w:r>
        <w:t xml:space="preserve"/>
      </w:r>
    </w:p>
    <w:p>
      <w:pPr>
        <w:pStyle w:val="Heading2"/>
        <w:spacing w:after="120" w:before="280"/>
      </w:pPr>
      <w:r>
        <w:rPr>
          <w:rFonts w:ascii="Arial" w:cs="Arial" w:eastAsia="Arial" w:hAnsi="Arial"/>
          <w:b/>
          <w:bCs/>
          <w:color w:val="404040"/>
          <w:sz w:val="26"/>
          <w:szCs w:val="26"/>
        </w:rPr>
        <w:t xml:space="preserve">2.2 Poços Problemáticos (R² &lt; 0.70)</w:t>
      </w:r>
    </w:p>
    <w:p>
      <w:pPr>
        <w:spacing w:after="80" w:before="80"/>
        <w:jc w:val="both"/>
      </w:pPr>
      <w:r>
        <w:rPr>
          <w:rFonts w:ascii="Arial" w:cs="Arial" w:eastAsia="Arial" w:hAnsi="Arial"/>
          <w:color w:val="404040"/>
          <w:sz w:val="22"/>
          <w:szCs w:val="22"/>
        </w:rPr>
        <w:t xml:space="preserve">Quatro poços foram identificados como problemáticos pelo critério duplo R² &lt; 0.70 OU RMSE &gt; 6.0 µs/ft. Os mesmos 4 poços são identificados por ambas as métricas, confirmando a robustez do threshold.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1000"/>
        <w:gridCol w:w="1200"/>
        <w:gridCol w:w="1326"/>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Poço</w:t>
            </w:r>
          </w:p>
        </w:tc>
        <w:tc>
          <w:tcPr>
            <w:tcW w:type="dxa" w:w="1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1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1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amostras</w:t>
            </w:r>
          </w:p>
        </w:tc>
        <w:tc>
          <w:tcPr>
            <w:tcW w:type="dxa" w:w="13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3-BRSA-1069-SES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0.384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6.361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4.568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+4.265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10.602</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Vertical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1-BRSA-930D-SES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0.566</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5.348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4.160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-2.224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9.512</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Direcional (30.4°)</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3-BRSA-1207-SES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0.585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7.032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5.592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-0.952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8.058</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Vertical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1-BRSA-1013-SES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0.691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6.672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5.207</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+3.433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4.738</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Vertical</w:t>
            </w:r>
          </w:p>
        </w:tc>
      </w:tr>
    </w:tbl>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3. Análise por Formação Geológica</w:t>
      </w:r>
    </w:p>
    <w:p>
      <w:pPr>
        <w:pStyle w:val="Heading2"/>
        <w:spacing w:after="120" w:before="280"/>
      </w:pPr>
      <w:r>
        <w:rPr>
          <w:rFonts w:ascii="Arial" w:cs="Arial" w:eastAsia="Arial" w:hAnsi="Arial"/>
          <w:b/>
          <w:bCs/>
          <w:color w:val="404040"/>
          <w:sz w:val="26"/>
          <w:szCs w:val="26"/>
        </w:rPr>
        <w:t xml:space="preserve">3.1 Performance por Formação</w:t>
      </w:r>
    </w:p>
    <w:p>
      <w:pPr>
        <w:spacing w:after="80" w:before="80"/>
        <w:jc w:val="both"/>
      </w:pPr>
      <w:r>
        <w:rPr>
          <w:rFonts w:ascii="Arial" w:cs="Arial" w:eastAsia="Arial" w:hAnsi="Arial"/>
          <w:color w:val="404040"/>
          <w:sz w:val="22"/>
          <w:szCs w:val="22"/>
        </w:rPr>
        <w:t xml:space="preserve">O dataset contém 5 formações geológicas com distribuição muito desigual. A FM. CALUMBI representa ~90% das amostras. As métricas por formação são: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1326"/>
        <w:gridCol w:w="190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Formação</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3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amostras</w:t>
            </w:r>
          </w:p>
        </w:tc>
        <w:tc>
          <w:tcPr>
            <w:tcW w:type="dxa" w:w="1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Representatividade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0.905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4.449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3.236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-0.237</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208.247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MURIBECA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0.865</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5.031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4.013</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+1.418</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2.493</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Baixa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RIACHUELO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0.848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4.449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3.365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+0.180</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17.384</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COTINGUIBA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0.832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7.678</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6.153</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-4.359</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1.548</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Moderada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COQUEIRO SECO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-0.151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8.051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6.466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+3.266</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2.143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Muito Baixa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F5C99"/>
                <w:sz w:val="22"/>
                <w:szCs w:val="22"/>
              </w:rPr>
              <w:t xml:space="preserve">Observação importante sobre profundidade e formação</w:t>
            </w:r>
          </w:p>
          <w:p>
            <w:pPr>
              <w:jc w:val="both"/>
            </w:pPr>
            <w:r>
              <w:rPr>
                <w:rFonts w:ascii="Arial" w:cs="Arial" w:eastAsia="Arial" w:hAnsi="Arial"/>
                <w:color w:val="404040"/>
                <w:sz w:val="22"/>
                <w:szCs w:val="22"/>
              </w:rPr>
              <w:t xml:space="preserve">A comparação direta entre formações é confundida pela profundidade: FM. RIACHUELO e FM. MURIBECA ocorrem naturalmente em zonas mais profundas (5000–6500m), onde o MAE é estruturalmente mais baixo em todas as formações. Parte do bom desempenho nessas formações é explicado pela profundidade, não pela geologia em si.</w:t>
            </w:r>
          </w:p>
        </w:tc>
      </w:tr>
    </w:tbl>
    <w:p>
      <w:pPr>
        <w:spacing w:after="60" w:before="60"/>
      </w:pPr>
      <w:r>
        <w:t xml:space="preserve"/>
      </w:r>
    </w:p>
    <w:p>
      <w:pPr>
        <w:pStyle w:val="Heading2"/>
        <w:spacing w:after="120" w:before="280"/>
      </w:pPr>
      <w:r>
        <w:rPr>
          <w:rFonts w:ascii="Arial" w:cs="Arial" w:eastAsia="Arial" w:hAnsi="Arial"/>
          <w:b/>
          <w:bCs/>
          <w:color w:val="404040"/>
          <w:sz w:val="26"/>
          <w:szCs w:val="26"/>
        </w:rPr>
        <w:t xml:space="preserve">3.2 Formações nos Poços Problemáticos</w:t>
      </w:r>
    </w:p>
    <w:p>
      <w:pPr>
        <w:spacing w:after="80" w:before="80"/>
        <w:jc w:val="both"/>
      </w:pPr>
      <w:r>
        <w:rPr>
          <w:rFonts w:ascii="Arial" w:cs="Arial" w:eastAsia="Arial" w:hAnsi="Arial"/>
          <w:color w:val="404040"/>
          <w:sz w:val="22"/>
          <w:szCs w:val="22"/>
        </w:rPr>
        <w:t xml:space="preserve">A análise direta da composição estratigráfica dos 4 poços problemáticos revela um resultado central do estudo: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Poço</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59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Formação(ões) no intervalo analisado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3-BRSA-1069-SES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0.384</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 100%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3-BRSA-1207-SES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0.585</w:t>
            </w:r>
          </w:p>
        </w:tc>
        <w:tc>
          <w:tcPr>
            <w:tcW w:type="dxa" w:w="5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 100%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1-BRSA-930D-SES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0.566</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 100%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1-BRSA-1013-SES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0.691</w:t>
            </w:r>
          </w:p>
        </w:tc>
        <w:tc>
          <w:tcPr>
            <w:tcW w:type="dxa" w:w="5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COQUEIRO SECO 45% | CALUMBI 24% | MURIBECA 24% | RIACHUELO 4% | COTINGUIBA 3%</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pPr>
            <w:r>
              <w:rPr>
                <w:rFonts w:ascii="Arial" w:cs="Arial" w:eastAsia="Arial" w:hAnsi="Arial"/>
                <w:b/>
                <w:bCs/>
                <w:color w:val="D35400"/>
                <w:sz w:val="22"/>
                <w:szCs w:val="22"/>
              </w:rPr>
              <w:t xml:space="preserve">Conclusão central — Resposta à pergunta do orientador</w:t>
            </w:r>
          </w:p>
          <w:p>
            <w:pPr>
              <w:jc w:val="both"/>
            </w:pPr>
            <w:r>
              <w:rPr>
                <w:rFonts w:ascii="Arial" w:cs="Arial" w:eastAsia="Arial" w:hAnsi="Arial"/>
                <w:color w:val="404040"/>
                <w:sz w:val="22"/>
                <w:szCs w:val="22"/>
              </w:rPr>
              <w:t xml:space="preserve">Os poços problemáticos NÃO estão em ambientes deposicionais distintos. Três dos quatro poços (1069, 1207, 930D) estão 100% dentro da FM. CALUMBI — a mesma formação que abriga os 6 melhores poços do dataset (R² ≥ 0.90, todos 100% CALUMBI). A formação não é o fator explicativo do baixo R². O percentual médio de FM. CALUMBI é de 81% nos problemáticos vs 94.9% nos bons (R² ≥ 0.75) — o padrão é INVERTIDO ao esperado se o CALUMBI fosse o problema.</w:t>
            </w:r>
          </w:p>
        </w:tc>
      </w:tr>
    </w:tbl>
    <w:p>
      <w:pPr>
        <w:spacing w:after="60" w:before="60"/>
      </w:pPr>
      <w:r>
        <w:t xml:space="preserve"/>
      </w:r>
    </w:p>
    <w:p>
      <w:pPr>
        <w:pStyle w:val="Heading2"/>
        <w:spacing w:after="120" w:before="280"/>
      </w:pPr>
      <w:r>
        <w:rPr>
          <w:rFonts w:ascii="Arial" w:cs="Arial" w:eastAsia="Arial" w:hAnsi="Arial"/>
          <w:b/>
          <w:bCs/>
          <w:color w:val="404040"/>
          <w:sz w:val="26"/>
          <w:szCs w:val="26"/>
        </w:rPr>
        <w:t xml:space="preserve">3.3 O Caso Especial do 1-BRSA-1013-SES</w:t>
      </w:r>
    </w:p>
    <w:p>
      <w:pPr>
        <w:spacing w:after="80" w:before="80"/>
        <w:jc w:val="both"/>
      </w:pPr>
      <w:r>
        <w:rPr>
          <w:rFonts w:ascii="Arial" w:cs="Arial" w:eastAsia="Arial" w:hAnsi="Arial"/>
          <w:color w:val="404040"/>
          <w:sz w:val="22"/>
          <w:szCs w:val="22"/>
        </w:rPr>
        <w:t xml:space="preserve">O 1013 é o único poço que perfura a FM. COQUEIRO SECO, que representa 45% do seu intervalo analisado. A FM. COQUEIRO SECO tem R² = -0.151 — o modelo é pior do que prever a média. A explicação é estrutural:</w:t>
      </w:r>
    </w:p>
    <w:p>
      <w:pPr>
        <w:pStyle w:val="ListParagraph"/>
        <w:numPr>
          <w:ilvl w:val="0"/>
          <w:numId w:val="2"/>
        </w:numPr>
        <w:spacing w:after="40" w:before="40"/>
      </w:pPr>
      <w:r>
        <w:rPr>
          <w:rFonts w:ascii="Arial" w:cs="Arial" w:eastAsia="Arial" w:hAnsi="Arial"/>
          <w:color w:val="404040"/>
          <w:sz w:val="22"/>
          <w:szCs w:val="22"/>
        </w:rPr>
        <w:t xml:space="preserve">No LOWO, quando o 1013 é o poço de teste, o modelo não teve nenhuma amostra do Coqueiro Seco durante o treino</w:t>
      </w:r>
    </w:p>
    <w:p>
      <w:pPr>
        <w:pStyle w:val="ListParagraph"/>
        <w:numPr>
          <w:ilvl w:val="0"/>
          <w:numId w:val="2"/>
        </w:numPr>
        <w:spacing w:after="40" w:before="40"/>
      </w:pPr>
      <w:r>
        <w:rPr>
          <w:rFonts w:ascii="Arial" w:cs="Arial" w:eastAsia="Arial" w:hAnsi="Arial"/>
          <w:color w:val="404040"/>
          <w:sz w:val="22"/>
          <w:szCs w:val="22"/>
        </w:rPr>
        <w:t xml:space="preserve">Dentro da FM. CALUMBI, o 1013 tem MAE = 3.070 — comparável aos melhores poços do dataset</w:t>
      </w:r>
    </w:p>
    <w:p>
      <w:pPr>
        <w:pStyle w:val="ListParagraph"/>
        <w:numPr>
          <w:ilvl w:val="0"/>
          <w:numId w:val="2"/>
        </w:numPr>
        <w:spacing w:after="40" w:before="40"/>
      </w:pPr>
      <w:r>
        <w:rPr>
          <w:rFonts w:ascii="Arial" w:cs="Arial" w:eastAsia="Arial" w:hAnsi="Arial"/>
          <w:color w:val="404040"/>
          <w:sz w:val="22"/>
          <w:szCs w:val="22"/>
        </w:rPr>
        <w:t xml:space="preserve">O problema é de ausência de dados de treino (gap LOWO), não de incapacidade do algoritmo</w:t>
      </w:r>
    </w:p>
    <w:p>
      <w:pPr>
        <w:pStyle w:val="ListParagraph"/>
        <w:numPr>
          <w:ilvl w:val="0"/>
          <w:numId w:val="2"/>
        </w:numPr>
        <w:spacing w:after="40" w:before="40"/>
      </w:pPr>
      <w:r>
        <w:rPr>
          <w:rFonts w:ascii="Arial" w:cs="Arial" w:eastAsia="Arial" w:hAnsi="Arial"/>
          <w:color w:val="404040"/>
          <w:sz w:val="22"/>
          <w:szCs w:val="22"/>
        </w:rPr>
        <w:t xml:space="preserve">Este é um argumento geológico forte para discutir limitações do LOWO na tese</w:t>
      </w:r>
    </w:p>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4. Análise por Litologia</w:t>
      </w:r>
    </w:p>
    <w:p>
      <w:pPr>
        <w:pStyle w:val="Heading2"/>
        <w:spacing w:after="120" w:before="280"/>
      </w:pPr>
      <w:r>
        <w:rPr>
          <w:rFonts w:ascii="Arial" w:cs="Arial" w:eastAsia="Arial" w:hAnsi="Arial"/>
          <w:b/>
          <w:bCs/>
          <w:color w:val="404040"/>
          <w:sz w:val="26"/>
          <w:szCs w:val="26"/>
        </w:rPr>
        <w:t xml:space="preserve">4.1 Performance Geral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1326"/>
        <w:gridCol w:w="200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Litologia</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3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amostras</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Representatividade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Folhelho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0.909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3.134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-0.312</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189.365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Marga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0.907</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2.921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-1.071</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3.817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Moderada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Siltito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0.889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3.498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-0.342</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2.903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Moderada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Mudstone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0.875</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3.935</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-2.122</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1.034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Moderada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Diamictito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0.843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4.553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-2.398</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1.379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Moderada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Arenito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0.821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4.181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+0.765</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29.709</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Calcilutito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0.818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4.249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+1.855</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1.598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Moderada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Conglomerado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0.709</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4.749</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-1.460</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878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Moderada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Ignea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0.403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5.920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+4.963</w:t>
            </w:r>
          </w:p>
        </w:tc>
        <w:tc>
          <w:tcPr>
            <w:tcW w:type="dxa" w:w="1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Muito Baixa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Brecha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0.251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2.414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-0.558</w:t>
            </w:r>
          </w:p>
        </w:tc>
        <w:tc>
          <w:tcPr>
            <w:tcW w:type="dxa" w:w="1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Muito Baixa</w:t>
            </w:r>
          </w:p>
        </w:tc>
      </w:tr>
    </w:tbl>
    <w:p>
      <w:pPr>
        <w:spacing w:after="60" w:before="60"/>
      </w:pPr>
      <w:r>
        <w:t xml:space="preserve"/>
      </w:r>
    </w:p>
    <w:p>
      <w:pPr>
        <w:pStyle w:val="Heading2"/>
        <w:spacing w:after="120" w:before="280"/>
      </w:pPr>
      <w:r>
        <w:rPr>
          <w:rFonts w:ascii="Arial" w:cs="Arial" w:eastAsia="Arial" w:hAnsi="Arial"/>
          <w:b/>
          <w:bCs/>
          <w:color w:val="404040"/>
          <w:sz w:val="26"/>
          <w:szCs w:val="26"/>
        </w:rPr>
        <w:t xml:space="preserve">4.2 Padrão de Bias por Litologia</w:t>
      </w:r>
    </w:p>
    <w:p>
      <w:pPr>
        <w:spacing w:after="80" w:before="80"/>
        <w:jc w:val="both"/>
      </w:pPr>
      <w:r>
        <w:rPr>
          <w:rFonts w:ascii="Arial" w:cs="Arial" w:eastAsia="Arial" w:hAnsi="Arial"/>
          <w:color w:val="404040"/>
          <w:sz w:val="22"/>
          <w:szCs w:val="22"/>
        </w:rPr>
        <w:t xml:space="preserve">O bias direcional revela um padrão petrofísico consistente:</w:t>
      </w:r>
    </w:p>
    <w:p>
      <w:pPr>
        <w:spacing w:after="60" w:before="60"/>
      </w:pPr>
      <w:r>
        <w:t xml:space="preserve"/>
      </w:r>
    </w:p>
    <w:p>
      <w:pPr>
        <w:spacing w:after="80" w:before="80"/>
        <w:jc w:val="both"/>
      </w:pPr>
      <w:r>
        <w:rPr>
          <w:rFonts w:ascii="Arial" w:cs="Arial" w:eastAsia="Arial" w:hAnsi="Arial"/>
          <w:b/>
          <w:bCs/>
          <w:color w:val="404040"/>
          <w:sz w:val="22"/>
          <w:szCs w:val="22"/>
        </w:rPr>
        <w:t xml:space="preserve">Litologias com bias negativo (subestimam DT — preveem rocha mais rápida): </w:t>
      </w:r>
      <w:r>
        <w:rPr>
          <w:rFonts w:ascii="Arial" w:cs="Arial" w:eastAsia="Arial" w:hAnsi="Arial"/>
          <w:i/>
          <w:iCs/>
          <w:color w:val="404040"/>
          <w:sz w:val="22"/>
          <w:szCs w:val="22"/>
        </w:rPr>
        <w:t xml:space="preserve">diamictito (-2.40), mudstone (-2.12), conglomerado (-1.46), marga (-1.07)</w:t>
      </w:r>
      <w:r>
        <w:rPr>
          <w:rFonts w:ascii="Arial" w:cs="Arial" w:eastAsia="Arial" w:hAnsi="Arial"/>
          <w:color w:val="404040"/>
          <w:sz w:val="22"/>
          <w:szCs w:val="22"/>
        </w:rPr>
        <w:t xml:space="preserve">. Rochas compactas e heterogêneas — o modelo, treinado majoritariamente em folhelho, tende a prever velocidade maior do que a real.</w:t>
      </w:r>
    </w:p>
    <w:p>
      <w:pPr>
        <w:spacing w:after="60" w:before="60"/>
      </w:pPr>
      <w:r>
        <w:t xml:space="preserve"/>
      </w:r>
    </w:p>
    <w:p>
      <w:pPr>
        <w:spacing w:after="80" w:before="80"/>
        <w:jc w:val="both"/>
      </w:pPr>
      <w:r>
        <w:rPr>
          <w:rFonts w:ascii="Arial" w:cs="Arial" w:eastAsia="Arial" w:hAnsi="Arial"/>
          <w:b/>
          <w:bCs/>
          <w:color w:val="404040"/>
          <w:sz w:val="22"/>
          <w:szCs w:val="22"/>
        </w:rPr>
        <w:t xml:space="preserve">Litologias com bias positivo (superestimam DT — preveem rocha mais lenta): </w:t>
      </w:r>
      <w:r>
        <w:rPr>
          <w:rFonts w:ascii="Arial" w:cs="Arial" w:eastAsia="Arial" w:hAnsi="Arial"/>
          <w:i/>
          <w:iCs/>
          <w:color w:val="404040"/>
          <w:sz w:val="22"/>
          <w:szCs w:val="22"/>
        </w:rPr>
        <w:t xml:space="preserve">ignea (+4.96), calcilutito (+1.85), arenito (+0.77)</w:t>
      </w:r>
      <w:r>
        <w:rPr>
          <w:rFonts w:ascii="Arial" w:cs="Arial" w:eastAsia="Arial" w:hAnsi="Arial"/>
          <w:color w:val="404040"/>
          <w:sz w:val="22"/>
          <w:szCs w:val="22"/>
        </w:rPr>
        <w:t xml:space="preserve">. Rochas com propriedades acústicas distintas do folhelho — o modelo subestima a velocidade sísmica.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F5C99"/>
                <w:sz w:val="22"/>
                <w:szCs w:val="22"/>
              </w:rPr>
              <w:t xml:space="preserve">Interpretação petrofísica do bias</w:t>
            </w:r>
          </w:p>
          <w:p>
            <w:pPr>
              <w:jc w:val="both"/>
            </w:pPr>
            <w:r>
              <w:rPr>
                <w:rFonts w:ascii="Arial" w:cs="Arial" w:eastAsia="Arial" w:hAnsi="Arial"/>
                <w:color w:val="404040"/>
                <w:sz w:val="22"/>
                <w:szCs w:val="22"/>
              </w:rPr>
              <w:t xml:space="preserve">O modelo, treinado com 82% de folhelho, tende a puxar predições em direção ao comportamento do folhelho. Para rochas mais compactas (conglomerado, diamictito), isso gera superestimação da velocidade (DT subestimado). Para rochas mais porosas ou de litologia distinta (arenito, calcilutito, ígnea), gera subestimação da velocidade (DT superestimado). O padrão é sistemático e coerente com a distribuição do dataset de treino.</w:t>
            </w:r>
          </w:p>
        </w:tc>
      </w:tr>
    </w:tbl>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5. Correlação com Profundidade</w:t>
      </w:r>
    </w:p>
    <w:p>
      <w:pPr>
        <w:pStyle w:val="Heading2"/>
        <w:spacing w:after="120" w:before="280"/>
      </w:pPr>
      <w:r>
        <w:rPr>
          <w:rFonts w:ascii="Arial" w:cs="Arial" w:eastAsia="Arial" w:hAnsi="Arial"/>
          <w:b/>
          <w:bCs/>
          <w:color w:val="404040"/>
          <w:sz w:val="26"/>
          <w:szCs w:val="26"/>
        </w:rPr>
        <w:t xml:space="preserve">5.1 Relação Global MAE × Profundidade</w:t>
      </w:r>
    </w:p>
    <w:p>
      <w:pPr>
        <w:spacing w:after="80" w:before="80"/>
        <w:jc w:val="both"/>
      </w:pPr>
      <w:r>
        <w:rPr>
          <w:rFonts w:ascii="Arial" w:cs="Arial" w:eastAsia="Arial" w:hAnsi="Arial"/>
          <w:color w:val="404040"/>
          <w:sz w:val="22"/>
          <w:szCs w:val="22"/>
        </w:rPr>
        <w:t xml:space="preserve">A correlação de Spearman entre MAE e profundidade é significativa e negativa: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500"/>
        <w:gridCol w:w="2226"/>
      </w:tblGrid>
      <w:tr>
        <w:trPr>
          <w:tblHeader/>
        </w:trP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Correlação</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ρ de Spearman</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p-valor</w:t>
            </w:r>
          </w:p>
        </w:tc>
        <w:tc>
          <w:tcPr>
            <w:tcW w:type="dxa" w:w="22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Interpretação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MAE × Profundidade (bins 200m)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-0.662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0.0006</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Erros diminuem com profundidade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R² × Profundidade máxima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+0.215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0.272</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Não significativo</w:t>
            </w:r>
          </w:p>
        </w:tc>
      </w:tr>
    </w:tbl>
    <w:p>
      <w:pPr>
        <w:spacing w:after="60" w:before="60"/>
      </w:pPr>
      <w:r>
        <w:t xml:space="preserve"/>
      </w:r>
    </w:p>
    <w:p>
      <w:pPr>
        <w:spacing w:after="80" w:before="80"/>
        <w:jc w:val="both"/>
      </w:pPr>
      <w:r>
        <w:rPr>
          <w:rFonts w:ascii="Arial" w:cs="Arial" w:eastAsia="Arial" w:hAnsi="Arial"/>
          <w:color w:val="404040"/>
          <w:sz w:val="22"/>
          <w:szCs w:val="22"/>
        </w:rPr>
        <w:t xml:space="preserve">O padrão é consistente para todas as litologias: zonas rasas (2000–3000m) têm MAE sistematicamente maior do que zonas profundas (5000–6000m). Este é um dos achados mais robustos do estudo.</w:t>
      </w:r>
    </w:p>
    <w:p>
      <w:pPr>
        <w:spacing w:after="60" w:before="60"/>
      </w:pPr>
      <w:r>
        <w:t xml:space="preserve"/>
      </w:r>
    </w:p>
    <w:p>
      <w:pPr>
        <w:pStyle w:val="Heading2"/>
        <w:spacing w:after="120" w:before="280"/>
      </w:pPr>
      <w:r>
        <w:rPr>
          <w:rFonts w:ascii="Arial" w:cs="Arial" w:eastAsia="Arial" w:hAnsi="Arial"/>
          <w:b/>
          <w:bCs/>
          <w:color w:val="404040"/>
          <w:sz w:val="26"/>
          <w:szCs w:val="26"/>
        </w:rPr>
        <w:t xml:space="preserve">5.2 Perfil de Erro por Poço Problemático</w:t>
      </w:r>
    </w:p>
    <w:p>
      <w:pPr>
        <w:pStyle w:val="Heading3"/>
        <w:spacing w:after="100" w:before="200"/>
      </w:pPr>
      <w:r>
        <w:rPr>
          <w:rFonts w:ascii="Arial" w:cs="Arial" w:eastAsia="Arial" w:hAnsi="Arial"/>
          <w:b/>
          <w:bCs/>
          <w:color w:val="404040"/>
          <w:sz w:val="22"/>
          <w:szCs w:val="22"/>
        </w:rPr>
        <w:t xml:space="preserve">3-BRSA-1069-SES (R² = 0.384)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26"/>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 Profundidade</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4200m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7.77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+7.68</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779</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4400m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9.32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+8.18</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805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4600m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7.16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+7.04</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1.719</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4800m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3.81</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+3.42</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1.779</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5000m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2.99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+2.94</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2.000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5400m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2.02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+1.55</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1.600</w:t>
            </w:r>
          </w:p>
        </w:tc>
      </w:tr>
    </w:tbl>
    <w:p>
      <w:pPr>
        <w:spacing w:after="60" w:before="60"/>
      </w:pPr>
      <w:r>
        <w:t xml:space="preserve"/>
      </w:r>
    </w:p>
    <w:p>
      <w:pPr>
        <w:spacing w:after="80" w:before="80"/>
        <w:jc w:val="both"/>
      </w:pPr>
      <w:r>
        <w:rPr>
          <w:rFonts w:ascii="Arial" w:cs="Arial" w:eastAsia="Arial" w:hAnsi="Arial"/>
          <w:color w:val="404040"/>
          <w:sz w:val="22"/>
          <w:szCs w:val="22"/>
        </w:rPr>
        <w:t xml:space="preserve">O erro é concentrado nos primeiros 400m do intervalo (4200–4600m) e melhora progressivamente com profundidade. O bias é uniformemente positivo — superestimação sistemática de DT. A correlação RHOB × erro é a mais forte (ρ = -0.639): quanto menor a densidade, maior o erro.</w:t>
      </w:r>
    </w:p>
    <w:p>
      <w:pPr>
        <w:spacing w:after="60" w:before="60"/>
      </w:pPr>
      <w:r>
        <w:t xml:space="preserve"/>
      </w:r>
    </w:p>
    <w:p>
      <w:pPr>
        <w:pStyle w:val="Heading3"/>
        <w:spacing w:after="100" w:before="200"/>
      </w:pPr>
      <w:r>
        <w:rPr>
          <w:rFonts w:ascii="Arial" w:cs="Arial" w:eastAsia="Arial" w:hAnsi="Arial"/>
          <w:b/>
          <w:bCs/>
          <w:color w:val="404040"/>
          <w:sz w:val="22"/>
          <w:szCs w:val="22"/>
        </w:rPr>
        <w:t xml:space="preserve">1-BRSA-930D-SES (R² = 0.566)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26"/>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 Profundidade</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2000m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9.96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-9.96</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248</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2200m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5.99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-5.98</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1.146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2400m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5.57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-5.45</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1.306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2600m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3.48</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-2.56</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1.312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2800m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3.11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-0.31</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1.304</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3000m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3.19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+0.83</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1.312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3400m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2.79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-1.52</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1.313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3600m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6.68</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-6.48</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259</w:t>
            </w:r>
          </w:p>
        </w:tc>
      </w:tr>
    </w:tbl>
    <w:p>
      <w:pPr>
        <w:spacing w:after="60" w:before="60"/>
      </w:pPr>
      <w:r>
        <w:t xml:space="preserve"/>
      </w:r>
    </w:p>
    <w:p>
      <w:pPr>
        <w:spacing w:after="80" w:before="80"/>
        <w:jc w:val="both"/>
      </w:pPr>
      <w:r>
        <w:rPr>
          <w:rFonts w:ascii="Arial" w:cs="Arial" w:eastAsia="Arial" w:hAnsi="Arial"/>
          <w:color w:val="404040"/>
          <w:sz w:val="22"/>
          <w:szCs w:val="22"/>
        </w:rPr>
        <w:t xml:space="preserve">Padrão claro de bias negativo nas extremidades (topo e base) com faixa central funcionando bem (2800–3400m). Consistent com artefatos de medição nas extremidades do poço direcional, não um problema geológico difuso. É o único poço direcional entre os problemáticos (inclinação máxima 30.4°).</w:t>
      </w:r>
    </w:p>
    <w:p>
      <w:pPr>
        <w:spacing w:after="60" w:before="60"/>
      </w:pPr>
      <w:r>
        <w:t xml:space="preserve"/>
      </w:r>
    </w:p>
    <w:p>
      <w:pPr>
        <w:pStyle w:val="Heading3"/>
        <w:spacing w:after="100" w:before="200"/>
      </w:pPr>
      <w:r>
        <w:rPr>
          <w:rFonts w:ascii="Arial" w:cs="Arial" w:eastAsia="Arial" w:hAnsi="Arial"/>
          <w:b/>
          <w:bCs/>
          <w:color w:val="404040"/>
          <w:sz w:val="22"/>
          <w:szCs w:val="22"/>
        </w:rPr>
        <w:t xml:space="preserve">3-BRSA-1207-SES (R² = 0.585)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26"/>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 Profundidade</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3400m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5.77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-5.61</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906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3600m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6.14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-5.97</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1.058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3800m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5.81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-5.68</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1.312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4000m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4.53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-2.75</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1.268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4200m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3.54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+0.31</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1.298</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4400m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4.29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+3.08</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897</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4600m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8.73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+8.72</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1.313</w:t>
            </w:r>
          </w:p>
        </w:tc>
      </w:tr>
    </w:tbl>
    <w:p>
      <w:pPr>
        <w:spacing w:after="60" w:before="60"/>
      </w:pPr>
      <w:r>
        <w:t xml:space="preserve"/>
      </w:r>
    </w:p>
    <w:p>
      <w:pPr>
        <w:spacing w:after="80" w:before="80"/>
        <w:jc w:val="both"/>
      </w:pPr>
      <w:r>
        <w:rPr>
          <w:rFonts w:ascii="Arial" w:cs="Arial" w:eastAsia="Arial" w:hAnsi="Arial"/>
          <w:color w:val="404040"/>
          <w:sz w:val="22"/>
          <w:szCs w:val="22"/>
        </w:rPr>
        <w:t xml:space="preserve">O caso mais revelador: o bias muda completamente de sinal ao longo do poço, de -5.6 no topo para +8.7 na base. Este padrão aponta para uma mudança real no caráter do DT dentro do poço que não tem análogo no conjunto de treino. Apenas GR tem correlação significativa (ρ = -0.329), sugerindo que o problema está ligado à variabilidade de argilosidade.</w:t>
      </w:r>
    </w:p>
    <w:p>
      <w:pPr>
        <w:spacing w:after="60" w:before="60"/>
      </w:pPr>
      <w:r>
        <w:t xml:space="preserve"/>
      </w:r>
    </w:p>
    <w:p>
      <w:pPr>
        <w:pStyle w:val="Heading3"/>
        <w:spacing w:after="100" w:before="200"/>
      </w:pPr>
      <w:r>
        <w:rPr>
          <w:rFonts w:ascii="Arial" w:cs="Arial" w:eastAsia="Arial" w:hAnsi="Arial"/>
          <w:b/>
          <w:bCs/>
          <w:color w:val="404040"/>
          <w:sz w:val="22"/>
          <w:szCs w:val="22"/>
        </w:rPr>
        <w:t xml:space="preserve">1-BRSA-1013-SES (R² = 0.691)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2526"/>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Formação</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2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amostras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3.070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+1.929</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1.139</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RIACHUELO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3.164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+2.700</w:t>
            </w:r>
          </w:p>
        </w:tc>
        <w:tc>
          <w:tcPr>
            <w:tcW w:type="dxa" w:w="2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171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COTINGUIBA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5.395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+5.015</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150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MURIBECA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5.258</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+5.157</w:t>
            </w:r>
          </w:p>
        </w:tc>
        <w:tc>
          <w:tcPr>
            <w:tcW w:type="dxa" w:w="2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1.135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COQUEIRO SECO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6.466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+3.266</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2.143</w:t>
            </w:r>
          </w:p>
        </w:tc>
      </w:tr>
    </w:tbl>
    <w:p>
      <w:pPr>
        <w:spacing w:after="60" w:before="60"/>
      </w:pPr>
      <w:r>
        <w:t xml:space="preserve"/>
      </w:r>
    </w:p>
    <w:p>
      <w:pPr>
        <w:spacing w:after="80" w:before="80"/>
        <w:jc w:val="both"/>
      </w:pPr>
      <w:r>
        <w:rPr>
          <w:rFonts w:ascii="Arial" w:cs="Arial" w:eastAsia="Arial" w:hAnsi="Arial"/>
          <w:color w:val="404040"/>
          <w:sz w:val="22"/>
          <w:szCs w:val="22"/>
        </w:rPr>
        <w:t xml:space="preserve">Dentro do CALUMBI, o 1013 tem MAE = 3.070 — comparável aos melhores poços. Todo o problema está nas formações mais profundas, com padrão de correlação oposto aos demais: DEPTH positivo (mais fundo = pior), NPHI negativo (mais poroso = melhor), RHOB positivo (mais denso = pior). Exatamente o esperado para formações mais antigas e compactas sem representação no treino.</w:t>
      </w:r>
    </w:p>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6. Correlação Features × Erro Absoluto (Poços Problemáticos)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56"/>
        <w:gridCol w:w="1556"/>
        <w:gridCol w:w="1557"/>
        <w:gridCol w:w="1557"/>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5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1069 (ρ)</w:t>
            </w:r>
          </w:p>
        </w:tc>
        <w:tc>
          <w:tcPr>
            <w:tcW w:type="dxa" w:w="155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930D (ρ)</w:t>
            </w:r>
          </w:p>
        </w:tc>
        <w:tc>
          <w:tcPr>
            <w:tcW w:type="dxa" w:w="1557"/>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1207 (ρ)</w:t>
            </w:r>
          </w:p>
        </w:tc>
        <w:tc>
          <w:tcPr>
            <w:tcW w:type="dxa" w:w="1557"/>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1013 (ρ)</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GR</w:t>
            </w:r>
          </w:p>
        </w:tc>
        <w:tc>
          <w:tcPr>
            <w:tcW w:type="dxa" w:w="1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-0.324***</w:t>
            </w:r>
          </w:p>
        </w:tc>
        <w:tc>
          <w:tcPr>
            <w:tcW w:type="dxa" w:w="1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-0.250***</w:t>
            </w:r>
          </w:p>
        </w:tc>
        <w:tc>
          <w:tcPr>
            <w:tcW w:type="dxa" w:w="155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-0.329***</w:t>
            </w:r>
          </w:p>
        </w:tc>
        <w:tc>
          <w:tcPr>
            <w:tcW w:type="dxa" w:w="155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-0.278***</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RT90</w:t>
            </w:r>
          </w:p>
        </w:tc>
        <w:tc>
          <w:tcPr>
            <w:tcW w:type="dxa" w:w="155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-0.438***</w:t>
            </w:r>
          </w:p>
        </w:tc>
        <w:tc>
          <w:tcPr>
            <w:tcW w:type="dxa" w:w="155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+0.290***</w:t>
            </w:r>
          </w:p>
        </w:tc>
        <w:tc>
          <w:tcPr>
            <w:tcW w:type="dxa" w:w="155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+0.018 n.s.</w:t>
            </w:r>
          </w:p>
        </w:tc>
        <w:tc>
          <w:tcPr>
            <w:tcW w:type="dxa" w:w="155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+0.297***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RHOB</w:t>
            </w:r>
          </w:p>
        </w:tc>
        <w:tc>
          <w:tcPr>
            <w:tcW w:type="dxa" w:w="1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-0.639***</w:t>
            </w:r>
          </w:p>
        </w:tc>
        <w:tc>
          <w:tcPr>
            <w:tcW w:type="dxa" w:w="1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-0.267***</w:t>
            </w:r>
          </w:p>
        </w:tc>
        <w:tc>
          <w:tcPr>
            <w:tcW w:type="dxa" w:w="155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-0.108***</w:t>
            </w:r>
          </w:p>
        </w:tc>
        <w:tc>
          <w:tcPr>
            <w:tcW w:type="dxa" w:w="155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+0.147***</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NPHI</w:t>
            </w:r>
          </w:p>
        </w:tc>
        <w:tc>
          <w:tcPr>
            <w:tcW w:type="dxa" w:w="155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+0.471***</w:t>
            </w:r>
          </w:p>
        </w:tc>
        <w:tc>
          <w:tcPr>
            <w:tcW w:type="dxa" w:w="155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+0.207***</w:t>
            </w:r>
          </w:p>
        </w:tc>
        <w:tc>
          <w:tcPr>
            <w:tcW w:type="dxa" w:w="155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+0.008 n.s.</w:t>
            </w:r>
          </w:p>
        </w:tc>
        <w:tc>
          <w:tcPr>
            <w:tcW w:type="dxa" w:w="1557"/>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-0.235***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DEPTH</w:t>
            </w:r>
          </w:p>
        </w:tc>
        <w:tc>
          <w:tcPr>
            <w:tcW w:type="dxa" w:w="1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-0.501***</w:t>
            </w:r>
          </w:p>
        </w:tc>
        <w:tc>
          <w:tcPr>
            <w:tcW w:type="dxa" w:w="155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-0.305***</w:t>
            </w:r>
          </w:p>
        </w:tc>
        <w:tc>
          <w:tcPr>
            <w:tcW w:type="dxa" w:w="155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+0.006 n.s.</w:t>
            </w:r>
          </w:p>
        </w:tc>
        <w:tc>
          <w:tcPr>
            <w:tcW w:type="dxa" w:w="155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+0.266***</w:t>
            </w:r>
          </w:p>
        </w:tc>
      </w:tr>
    </w:tbl>
    <w:p>
      <w:pPr>
        <w:spacing w:after="60" w:before="60"/>
      </w:pPr>
      <w:r>
        <w:t xml:space="preserve"/>
      </w:r>
    </w:p>
    <w:p>
      <w:pPr>
        <w:spacing w:after="80" w:before="80"/>
        <w:jc w:val="both"/>
      </w:pPr>
      <w:r>
        <w:rPr>
          <w:rFonts w:ascii="Arial" w:cs="Arial" w:eastAsia="Arial" w:hAnsi="Arial"/>
          <w:color w:val="404040"/>
          <w:sz w:val="22"/>
          <w:szCs w:val="22"/>
        </w:rPr>
        <w:t xml:space="preserve">*** p &lt; 0.001  |  n.s. = não significativo  |  Correlação de Spearman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F5C99"/>
                <w:sz w:val="22"/>
                <w:szCs w:val="22"/>
              </w:rPr>
              <w:t xml:space="preserve">Cada poço tem um mecanismo de falha distinto</w:t>
            </w:r>
          </w:p>
          <w:p>
            <w:pPr>
              <w:jc w:val="both"/>
            </w:pPr>
            <w:r>
              <w:rPr>
                <w:rFonts w:ascii="Arial" w:cs="Arial" w:eastAsia="Arial" w:hAnsi="Arial"/>
                <w:color w:val="404040"/>
                <w:sz w:val="22"/>
                <w:szCs w:val="22"/>
              </w:rPr>
              <w:t xml:space="preserve">1069: fortemente correlacionado com RHOB (densidade) — problema de compactação/porosidade em zona específica.
930D: padrão misto, dominado por profundidade — problemas nas extremidades do poço direcional.
1207: apenas GR significativo — mudança de argilosidade ao longo do poço sem análogo no treino.
1013: padrão invertido de DEPTH/NPHI/RHOB — formações profundas com características distintas do treino.</w:t>
            </w:r>
          </w:p>
        </w:tc>
      </w:tr>
    </w:tbl>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7. Espessura de Camada × Erro de Predição</w:t>
      </w:r>
    </w:p>
    <w:p>
      <w:pPr>
        <w:spacing w:after="80" w:before="80"/>
        <w:jc w:val="both"/>
      </w:pPr>
      <w:r>
        <w:rPr>
          <w:rFonts w:ascii="Arial" w:cs="Arial" w:eastAsia="Arial" w:hAnsi="Arial"/>
          <w:color w:val="404040"/>
          <w:sz w:val="22"/>
          <w:szCs w:val="22"/>
        </w:rPr>
        <w:t xml:space="preserve">Testou-se a hipótese de que camadas mais finas dificultam a predição por aumentar a variabilidade em curtas distâncias.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2226"/>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Faixa de Espessura</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amostras</w:t>
            </w:r>
          </w:p>
        </w:tc>
        <w:tc>
          <w:tcPr>
            <w:tcW w:type="dxa" w:w="22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segmentos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&lt; 5m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3.834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48.249</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774</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5–15m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3.269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44.761</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317</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15–30m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2.880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50.181</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197</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30–60m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3.085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36.455</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60–100m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3.499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21.203</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39</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&gt; 100m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3.337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30.966</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31</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8E8"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Hipótese rejeitada</w:t>
            </w:r>
          </w:p>
          <w:p>
            <w:pPr>
              <w:jc w:val="both"/>
            </w:pPr>
            <w:r>
              <w:rPr>
                <w:rFonts w:ascii="Arial" w:cs="Arial" w:eastAsia="Arial" w:hAnsi="Arial"/>
                <w:color w:val="404040"/>
                <w:sz w:val="22"/>
                <w:szCs w:val="22"/>
              </w:rPr>
              <w:t xml:space="preserve">A correlação global Spearman ρ = -0.026 (p &lt; 0.001) é estatisticamente significativa apenas pelo N elevado — explica menos de 0.1% da variação do erro. O MAE mínimo está em camadas de 15–30m, não nas espessas. Os poços problemáticos têm espessura média MAIOR (72.3m) do que os bons (57.0m) — o oposto do esperado. A hipótese de que camadas finas dificultam a predição não tem suporte nos dados.</w:t>
            </w:r>
          </w:p>
        </w:tc>
      </w:tr>
    </w:tbl>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8. Análise Integrada: Bias × MAE por Formação × Litologia</w:t>
      </w:r>
    </w:p>
    <w:p>
      <w:pPr>
        <w:spacing w:after="80" w:before="80"/>
        <w:jc w:val="both"/>
      </w:pPr>
      <w:r>
        <w:rPr>
          <w:rFonts w:ascii="Arial" w:cs="Arial" w:eastAsia="Arial" w:hAnsi="Arial"/>
          <w:color w:val="404040"/>
          <w:sz w:val="22"/>
          <w:szCs w:val="22"/>
        </w:rPr>
        <w:t xml:space="preserve">O bubble chart Bias × MAE permite classificar todas as combinações formação × litologia em quatro quadrantes de acordo com a direção e magnitude do erro:</w:t>
      </w:r>
    </w:p>
    <w:p>
      <w:pPr>
        <w:spacing w:after="60" w:before="60"/>
      </w:pPr>
      <w:r>
        <w:t xml:space="preserve"/>
      </w:r>
    </w:p>
    <w:p>
      <w:pPr>
        <w:pStyle w:val="Heading2"/>
        <w:spacing w:after="120" w:before="280"/>
      </w:pPr>
      <w:r>
        <w:rPr>
          <w:rFonts w:ascii="Arial" w:cs="Arial" w:eastAsia="Arial" w:hAnsi="Arial"/>
          <w:b/>
          <w:bCs/>
          <w:color w:val="404040"/>
          <w:sz w:val="26"/>
          <w:szCs w:val="26"/>
        </w:rPr>
        <w:t xml:space="preserve">Quadrante ❌ Alto Erro + Superestima DT (MAE acima da média + Bias positivo)</w:t>
      </w:r>
    </w:p>
    <w:p>
      <w:pPr>
        <w:spacing w:after="80" w:before="80"/>
        <w:jc w:val="both"/>
      </w:pPr>
      <w:r>
        <w:rPr>
          <w:rFonts w:ascii="Arial" w:cs="Arial" w:eastAsia="Arial" w:hAnsi="Arial"/>
          <w:color w:val="404040"/>
          <w:sz w:val="22"/>
          <w:szCs w:val="22"/>
        </w:rPr>
        <w:t xml:space="preserve">Casos mais críticos para well-to-seismic tie — erro alto em direção sistemática de velocidade subestimada: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162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Formação</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Litologia</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COQUEIRO SECO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Arenito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8.14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+5.72</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676</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RIACHUELO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Ignea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5.92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+4.96</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701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MURIBECA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Calcilutito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+5.24</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192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COQUEIRO SECO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Folhelho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5.68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+2.10</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1.429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MURIBECA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Arenito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5.09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+2.63</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121</w:t>
            </w:r>
          </w:p>
        </w:tc>
      </w:tr>
    </w:tbl>
    <w:p>
      <w:pPr>
        <w:spacing w:after="60" w:before="60"/>
      </w:pPr>
      <w:r>
        <w:t xml:space="preserve"/>
      </w:r>
    </w:p>
    <w:p>
      <w:pPr>
        <w:pStyle w:val="Heading2"/>
        <w:spacing w:after="120" w:before="280"/>
      </w:pPr>
      <w:r>
        <w:rPr>
          <w:rFonts w:ascii="Arial" w:cs="Arial" w:eastAsia="Arial" w:hAnsi="Arial"/>
          <w:b/>
          <w:bCs/>
          <w:color w:val="404040"/>
          <w:sz w:val="26"/>
          <w:szCs w:val="26"/>
        </w:rPr>
        <w:t xml:space="preserve">Quadrante ❌ Alto Erro + Subestima DT (MAE acima da média + Bias negativo)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162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Formação</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Litologia</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COTINGUIBA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Folhelho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7.60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-6.51</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955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Conglomerado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4.75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-1.46</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878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Diamictito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4.55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-2.40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1.379</w:t>
            </w:r>
          </w:p>
        </w:tc>
      </w:tr>
    </w:tbl>
    <w:p>
      <w:pPr>
        <w:spacing w:after="60" w:before="60"/>
      </w:pPr>
      <w:r>
        <w:t xml:space="preserve"/>
      </w:r>
    </w:p>
    <w:p>
      <w:pPr>
        <w:pStyle w:val="Heading2"/>
        <w:spacing w:after="120" w:before="280"/>
      </w:pPr>
      <w:r>
        <w:rPr>
          <w:rFonts w:ascii="Arial" w:cs="Arial" w:eastAsia="Arial" w:hAnsi="Arial"/>
          <w:b/>
          <w:bCs/>
          <w:color w:val="404040"/>
          <w:sz w:val="26"/>
          <w:szCs w:val="26"/>
        </w:rPr>
        <w:t xml:space="preserve">Quadrante ✅ Baixo Erro + Comportamento Próximo ao Neutro</w:t>
      </w:r>
    </w:p>
    <w:p>
      <w:pPr>
        <w:spacing w:after="80" w:before="80"/>
        <w:jc w:val="both"/>
      </w:pPr>
      <w:r>
        <w:rPr>
          <w:rFonts w:ascii="Arial" w:cs="Arial" w:eastAsia="Arial" w:hAnsi="Arial"/>
          <w:color w:val="404040"/>
          <w:sz w:val="22"/>
          <w:szCs w:val="22"/>
        </w:rPr>
        <w:t xml:space="preserve">Melhor desempenho para well-to-seismic 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162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Formação</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Litologia</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RIACHUELO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Marga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2.46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-0.86</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2.736</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Folhelho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3.08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-0.30</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175.082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FM. RIACHUELO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Folhelho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3.12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-0.55</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04040"/>
                <w:sz w:val="20"/>
                <w:szCs w:val="20"/>
              </w:rPr>
              <w:t xml:space="preserve">9.719</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FM. CALUMBI</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Siltito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3.50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-0.34</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04040"/>
                <w:sz w:val="20"/>
                <w:szCs w:val="20"/>
              </w:rPr>
              <w:t xml:space="preserve">2.903</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A7A43"/>
                <w:sz w:val="22"/>
                <w:szCs w:val="22"/>
              </w:rPr>
              <w:t xml:space="preserve">Resultado mais surpreendente</w:t>
            </w:r>
          </w:p>
          <w:p>
            <w:pPr>
              <w:jc w:val="both"/>
            </w:pPr>
            <w:r>
              <w:rPr>
                <w:rFonts w:ascii="Arial" w:cs="Arial" w:eastAsia="Arial" w:hAnsi="Arial"/>
                <w:color w:val="404040"/>
                <w:sz w:val="22"/>
                <w:szCs w:val="22"/>
              </w:rPr>
              <w:t xml:space="preserve">A marga do FM. RIACHUELO (MAE = 2.46) é a combinação formação × litologia melhor predita de todo o benchmark — melhor que o próprio folhelho do CALUMBI que domina o treino (MAE = 3.08). Este resultado contraintuitivo merece nota no artigo: uma litologia em formação menos representada sendo predita com maior precisão que a combinação dominante.</w:t>
            </w:r>
          </w:p>
        </w:tc>
      </w:tr>
    </w:tbl>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9. Conclusões Consolidadas</w:t>
      </w:r>
    </w:p>
    <w:p>
      <w:pPr>
        <w:pStyle w:val="Heading2"/>
        <w:spacing w:after="120" w:before="280"/>
      </w:pPr>
      <w:r>
        <w:rPr>
          <w:rFonts w:ascii="Arial" w:cs="Arial" w:eastAsia="Arial" w:hAnsi="Arial"/>
          <w:b/>
          <w:bCs/>
          <w:color w:val="404040"/>
          <w:sz w:val="26"/>
          <w:szCs w:val="26"/>
        </w:rPr>
        <w:t xml:space="preserve">9.1 A Formação Geológica Não Explica os Poços Problemáticos</w:t>
      </w:r>
    </w:p>
    <w:p>
      <w:pPr>
        <w:spacing w:after="80" w:before="80"/>
        <w:jc w:val="both"/>
      </w:pPr>
      <w:r>
        <w:rPr>
          <w:rFonts w:ascii="Arial" w:cs="Arial" w:eastAsia="Arial" w:hAnsi="Arial"/>
          <w:color w:val="404040"/>
          <w:sz w:val="22"/>
          <w:szCs w:val="22"/>
        </w:rPr>
        <w:t xml:space="preserve">Esta é a conclusão central do estudo. Três dos quatro poços problemáticos estão integralmente na FM. CALUMBI — a formação com melhor performance global (R² = 0.905). O fator geológico relevante não é a formação em si, mas a heterogeneidade interna dentro do CALUMBI e, no caso do 1013, a raridade estratigráfica do Coqueiro Seco no dataset de treino.</w:t>
      </w:r>
    </w:p>
    <w:p>
      <w:pPr>
        <w:spacing w:after="60" w:before="60"/>
      </w:pPr>
      <w:r>
        <w:t xml:space="preserve"/>
      </w:r>
    </w:p>
    <w:p>
      <w:pPr>
        <w:pStyle w:val="Heading2"/>
        <w:spacing w:after="120" w:before="280"/>
      </w:pPr>
      <w:r>
        <w:rPr>
          <w:rFonts w:ascii="Arial" w:cs="Arial" w:eastAsia="Arial" w:hAnsi="Arial"/>
          <w:b/>
          <w:bCs/>
          <w:color w:val="404040"/>
          <w:sz w:val="26"/>
          <w:szCs w:val="26"/>
        </w:rPr>
        <w:t xml:space="preserve">9.2 Cada Poço Problemático Tem um Mecanismo Distinto</w:t>
      </w:r>
    </w:p>
    <w:p>
      <w:pPr>
        <w:pStyle w:val="ListParagraph"/>
        <w:numPr>
          <w:ilvl w:val="0"/>
          <w:numId w:val="2"/>
        </w:numPr>
        <w:spacing w:after="40" w:before="40"/>
      </w:pPr>
      <w:r>
        <w:rPr>
          <w:rFonts w:ascii="Arial" w:cs="Arial" w:eastAsia="Arial" w:hAnsi="Arial"/>
          <w:color w:val="404040"/>
          <w:sz w:val="22"/>
          <w:szCs w:val="22"/>
        </w:rPr>
        <w:t xml:space="preserve">3-BRSA-1069: Erro concentrado nos primeiros 400m do intervalo; bias positivo sistemático; fortemente correlacionado com baixa densidade (RHOB). Possível zona de menor compactação ou maior heterogeneidade litológica.</w:t>
      </w:r>
    </w:p>
    <w:p>
      <w:pPr>
        <w:pStyle w:val="ListParagraph"/>
        <w:numPr>
          <w:ilvl w:val="0"/>
          <w:numId w:val="2"/>
        </w:numPr>
        <w:spacing w:after="40" w:before="40"/>
      </w:pPr>
      <w:r>
        <w:rPr>
          <w:rFonts w:ascii="Arial" w:cs="Arial" w:eastAsia="Arial" w:hAnsi="Arial"/>
          <w:color w:val="404040"/>
          <w:sz w:val="22"/>
          <w:szCs w:val="22"/>
        </w:rPr>
        <w:t xml:space="preserve">1-BRSA-930D: Bias negativo nas zonas extremas (topo e base), com faixa central funcionando bem. Consistente com artefatos de medição nas extremidades do poço direcional — único entre os problemáticos.</w:t>
      </w:r>
    </w:p>
    <w:p>
      <w:pPr>
        <w:pStyle w:val="ListParagraph"/>
        <w:numPr>
          <w:ilvl w:val="0"/>
          <w:numId w:val="2"/>
        </w:numPr>
        <w:spacing w:after="40" w:before="40"/>
      </w:pPr>
      <w:r>
        <w:rPr>
          <w:rFonts w:ascii="Arial" w:cs="Arial" w:eastAsia="Arial" w:hAnsi="Arial"/>
          <w:color w:val="404040"/>
          <w:sz w:val="22"/>
          <w:szCs w:val="22"/>
        </w:rPr>
        <w:t xml:space="preserve">3-BRSA-1207: Reversão completa de bias ao longo do poço (-5.6 no topo → +8.7 na base). Problema dominado por GR — mudança sistemática no caráter do DT sem análogo no treino.</w:t>
      </w:r>
    </w:p>
    <w:p>
      <w:pPr>
        <w:pStyle w:val="ListParagraph"/>
        <w:numPr>
          <w:ilvl w:val="0"/>
          <w:numId w:val="2"/>
        </w:numPr>
        <w:spacing w:after="40" w:before="40"/>
      </w:pPr>
      <w:r>
        <w:rPr>
          <w:rFonts w:ascii="Arial" w:cs="Arial" w:eastAsia="Arial" w:hAnsi="Arial"/>
          <w:color w:val="404040"/>
          <w:sz w:val="22"/>
          <w:szCs w:val="22"/>
        </w:rPr>
        <w:t xml:space="preserve">1-BRSA-1013: Falha concentrada no FM. COQUEIRO SECO — problema estrutural do LOWO (único poço que perfura essa formação) e não geológico.</w:t>
      </w:r>
    </w:p>
    <w:p>
      <w:pPr>
        <w:spacing w:after="60" w:before="60"/>
      </w:pPr>
      <w:r>
        <w:t xml:space="preserve"/>
      </w:r>
    </w:p>
    <w:p>
      <w:pPr>
        <w:pStyle w:val="Heading2"/>
        <w:spacing w:after="120" w:before="280"/>
      </w:pPr>
      <w:r>
        <w:rPr>
          <w:rFonts w:ascii="Arial" w:cs="Arial" w:eastAsia="Arial" w:hAnsi="Arial"/>
          <w:b/>
          <w:bCs/>
          <w:color w:val="404040"/>
          <w:sz w:val="26"/>
          <w:szCs w:val="26"/>
        </w:rPr>
        <w:t xml:space="preserve">9.3 Profundidade é o Fator Geológico Mais Consistente</w:t>
      </w:r>
    </w:p>
    <w:p>
      <w:pPr>
        <w:spacing w:after="80" w:before="80"/>
        <w:jc w:val="both"/>
      </w:pPr>
      <w:r>
        <w:rPr>
          <w:rFonts w:ascii="Arial" w:cs="Arial" w:eastAsia="Arial" w:hAnsi="Arial"/>
          <w:color w:val="404040"/>
          <w:sz w:val="22"/>
          <w:szCs w:val="22"/>
        </w:rPr>
        <w:t xml:space="preserve">A correlação negativa MAE × profundidade (ρ = -0.662, p = 0.0006) é o achado mais robusto e generalizável: zonas rasas são sistematicamente mais difíceis de prever em todas as formações e litologias. Este padrão explica em parte a confusão aparente entre formações — FM. RIACHUELO e FM. MURIBECA ocorrem em maior profundidade e se beneficiam desse efeito.</w:t>
      </w:r>
    </w:p>
    <w:p>
      <w:pPr>
        <w:spacing w:after="60" w:before="60"/>
      </w:pPr>
      <w:r>
        <w:t xml:space="preserve"/>
      </w:r>
    </w:p>
    <w:p>
      <w:pPr>
        <w:pStyle w:val="Heading2"/>
        <w:spacing w:after="120" w:before="280"/>
      </w:pPr>
      <w:r>
        <w:rPr>
          <w:rFonts w:ascii="Arial" w:cs="Arial" w:eastAsia="Arial" w:hAnsi="Arial"/>
          <w:b/>
          <w:bCs/>
          <w:color w:val="404040"/>
          <w:sz w:val="26"/>
          <w:szCs w:val="26"/>
        </w:rPr>
        <w:t xml:space="preserve">9.4 O Modelo é Enviesado por Litologia de Treino</w:t>
      </w:r>
    </w:p>
    <w:p>
      <w:pPr>
        <w:spacing w:after="80" w:before="80"/>
        <w:jc w:val="both"/>
      </w:pPr>
      <w:r>
        <w:rPr>
          <w:rFonts w:ascii="Arial" w:cs="Arial" w:eastAsia="Arial" w:hAnsi="Arial"/>
          <w:color w:val="404040"/>
          <w:sz w:val="22"/>
          <w:szCs w:val="22"/>
        </w:rPr>
        <w:t xml:space="preserve">Com 82% das amostras de folhelho, o modelo aprende predominantemente o comportamento acústico dessa litologia. Para outras litologias, o bias é sistemático e coerente com a distância do comportamento do folhelho: rochas mais compactas têm DT subestimado (velocidade superestimada) e rochas mais porosas ou de litologia distinta têm DT superestimado (velocidade subestimada).</w:t>
      </w:r>
    </w:p>
    <w:p>
      <w:pPr>
        <w:spacing w:after="60" w:before="60"/>
      </w:pPr>
      <w:r>
        <w:t xml:space="preserve"/>
      </w:r>
    </w:p>
    <w:p>
      <w:pPr>
        <w:pStyle w:val="Heading2"/>
        <w:spacing w:after="120" w:before="280"/>
      </w:pPr>
      <w:r>
        <w:rPr>
          <w:rFonts w:ascii="Arial" w:cs="Arial" w:eastAsia="Arial" w:hAnsi="Arial"/>
          <w:b/>
          <w:bCs/>
          <w:color w:val="404040"/>
          <w:sz w:val="26"/>
          <w:szCs w:val="26"/>
        </w:rPr>
        <w:t xml:space="preserve">9.5 Espessura de Camada Não é Fator Explicativo</w:t>
      </w:r>
    </w:p>
    <w:p>
      <w:pPr>
        <w:spacing w:after="80" w:before="80"/>
        <w:jc w:val="both"/>
      </w:pPr>
      <w:r>
        <w:rPr>
          <w:rFonts w:ascii="Arial" w:cs="Arial" w:eastAsia="Arial" w:hAnsi="Arial"/>
          <w:color w:val="404040"/>
          <w:sz w:val="22"/>
          <w:szCs w:val="22"/>
        </w:rPr>
        <w:t xml:space="preserve">A hipótese de que camadas mais finas dificultam a predição foi testada e rejeitada. A correlação global ρ = -0.026 é estatisticamente significativa apenas pelo N elevado, mas praticamente irrelevante. Os poços problemáticos têm camadas em média mais espessas que os bons.</w:t>
      </w:r>
    </w:p>
    <w:p>
      <w:pPr>
        <w:spacing w:after="60" w:before="6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10. Implicações para o Artigo Científico</w:t>
      </w:r>
    </w:p>
    <w:p>
      <w:pPr>
        <w:spacing w:after="80" w:before="80"/>
        <w:jc w:val="both"/>
      </w:pPr>
      <w:r>
        <w:rPr>
          <w:rFonts w:ascii="Arial" w:cs="Arial" w:eastAsia="Arial" w:hAnsi="Arial"/>
          <w:color w:val="404040"/>
          <w:sz w:val="22"/>
          <w:szCs w:val="22"/>
        </w:rPr>
        <w:t xml:space="preserve">As análises deste estudo geram os seguintes argumentos para o artigo:</w:t>
      </w:r>
    </w:p>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A formação geológica não é um preditor independente da performance — ela é mediada pela profundidade e pela disponibilidade de dados de treino no LOWO. Esta afirmação é sustentada por dados quantitativos e responde diretamente à questão do orientador.</w:t>
      </w:r>
    </w:p>
    <w:p>
      <w:pPr>
        <w:pStyle w:val="ListParagraph"/>
        <w:numPr>
          <w:ilvl w:val="0"/>
          <w:numId w:val="2"/>
        </w:numPr>
        <w:spacing w:after="40" w:before="40"/>
      </w:pPr>
      <w:r>
        <w:rPr>
          <w:rFonts w:ascii="Arial" w:cs="Arial" w:eastAsia="Arial" w:hAnsi="Arial"/>
          <w:color w:val="404040"/>
          <w:sz w:val="22"/>
          <w:szCs w:val="22"/>
        </w:rPr>
        <w:t xml:space="preserve">A análise individual dos 4 poços problemáticos demonstra que cada caso tem um mecanismo distinto, reforçando que os limites do modelo são geológicos e estruturais, não metodológicos.</w:t>
      </w:r>
    </w:p>
    <w:p>
      <w:pPr>
        <w:pStyle w:val="ListParagraph"/>
        <w:numPr>
          <w:ilvl w:val="0"/>
          <w:numId w:val="2"/>
        </w:numPr>
        <w:spacing w:after="40" w:before="40"/>
      </w:pPr>
      <w:r>
        <w:rPr>
          <w:rFonts w:ascii="Arial" w:cs="Arial" w:eastAsia="Arial" w:hAnsi="Arial"/>
          <w:color w:val="404040"/>
          <w:sz w:val="22"/>
          <w:szCs w:val="22"/>
        </w:rPr>
        <w:t xml:space="preserve">O bubble chart Bias × MAE por formação × litologia é uma visualização original que pode ser incluída como figura no artigo — demonstra o padrão de viés do modelo de forma intuitiva e relacionada com propriedades petrofísicas.</w:t>
      </w:r>
    </w:p>
    <w:p>
      <w:pPr>
        <w:pStyle w:val="ListParagraph"/>
        <w:numPr>
          <w:ilvl w:val="0"/>
          <w:numId w:val="2"/>
        </w:numPr>
        <w:spacing w:after="40" w:before="40"/>
      </w:pPr>
      <w:r>
        <w:rPr>
          <w:rFonts w:ascii="Arial" w:cs="Arial" w:eastAsia="Arial" w:hAnsi="Arial"/>
          <w:color w:val="404040"/>
          <w:sz w:val="22"/>
          <w:szCs w:val="22"/>
        </w:rPr>
        <w:t xml:space="preserve">O resultado da marga do Riachuelo (melhor combinação do dataset) e do folhelho da Cotinguiba (pior) são resultados contraintuitivos que merecem discussão.</w:t>
      </w:r>
    </w:p>
    <w:p>
      <w:pPr>
        <w:pStyle w:val="ListParagraph"/>
        <w:numPr>
          <w:ilvl w:val="0"/>
          <w:numId w:val="2"/>
        </w:numPr>
        <w:spacing w:after="40" w:before="40"/>
      </w:pPr>
      <w:r>
        <w:rPr>
          <w:rFonts w:ascii="Arial" w:cs="Arial" w:eastAsia="Arial" w:hAnsi="Arial"/>
          <w:color w:val="404040"/>
          <w:sz w:val="22"/>
          <w:szCs w:val="22"/>
        </w:rPr>
        <w:t xml:space="preserve">A espessura de camada foi testada e descartada, o que fortalece o argumento de que os limites são geológicos e não de resolução do dado.</w:t>
      </w:r>
    </w:p>
    <w:p>
      <w:pPr>
        <w:spacing w:after="60" w:before="60"/>
      </w:pPr>
      <w:r>
        <w:t xml:space="preserve"/>
      </w:r>
    </w:p>
    <w:p>
      <w:pPr>
        <w:spacing w:before="720"/>
        <w:jc w:val="center"/>
      </w:pPr>
      <w:r>
        <w:rPr>
          <w:rFonts w:ascii="Arial" w:cs="Arial" w:eastAsia="Arial" w:hAnsi="Arial"/>
          <w:i/>
          <w:iCs/>
          <w:color w:val="999999"/>
          <w:sz w:val="20"/>
          <w:szCs w:val="20"/>
        </w:rPr>
        <w:t xml:space="preserve">Fim do Documento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888888"/>
        <w:sz w:val="18"/>
        <w:szCs w:val="18"/>
      </w:rPr>
      <w:t xml:space="preserve">XGBoost LOWO | Bacia Sergipe-Alagoas | 28 poços</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120"/>
    </w:pPr>
    <w:r>
      <w:rPr>
        <w:rFonts w:ascii="Arial" w:cs="Arial" w:eastAsia="Arial" w:hAnsi="Arial"/>
        <w:color w:val="1F5C99"/>
        <w:sz w:val="18"/>
        <w:szCs w:val="18"/>
      </w:rPr>
      <w:t xml:space="preserve">Análise Geológica das Predições de DT — Bacia Sergipe-Alagoas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0404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2026-04-17T16:50:28.842Z</dcterms:created>
  <dcterms:modified xsi:type="dcterms:W3CDTF">2026-04-17T16:50:28.843Z</dcterms:modified>
</cp:coreProperties>
</file>

<file path=docProps/custom.xml><?xml version="1.0" encoding="utf-8"?>
<Properties xmlns="http://schemas.openxmlformats.org/officeDocument/2006/custom-properties" xmlns:vt="http://schemas.openxmlformats.org/officeDocument/2006/docPropsVTypes"/>
</file>