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F3864"/>
          <w:sz w:val="36"/>
          <w:szCs w:val="36"/>
        </w:rPr>
        <w:t xml:space="preserve">ANÁLISE BIBLIOGRÁFICA COMPARATIVA</w:t>
      </w:r>
    </w:p>
    <w:p>
      <w:pPr>
        <w:spacing w:before="0" w:after="240"/>
        <w:jc w:val="center"/>
      </w:pPr>
      <w:r>
        <w:rPr>
          <w:color w:val="2E75B6"/>
          <w:sz w:val="28"/>
          <w:szCs w:val="28"/>
        </w:rPr>
        <w:t xml:space="preserve">Predição de Perfil Sônico (DT) com Aprendizado de Máquina</w:t>
      </w:r>
    </w:p>
    <w:p>
      <w:pPr>
        <w:spacing w:before="0" w:after="120"/>
        <w:jc w:val="center"/>
      </w:pPr>
      <w:r>
        <w:rPr>
          <w:i/>
          <w:iCs/>
          <w:color w:val="666666"/>
          <w:sz w:val="22"/>
          <w:szCs w:val="22"/>
        </w:rPr>
        <w:t xml:space="preserve">Comparação com estudos relacionados e subsídios para tese e artigo científico</w:t>
      </w:r>
    </w:p>
    <w:p>
      <w:pPr>
        <w:pBdr>
          <w:bottom w:val="single" w:color="2E75B6" w:sz="4" w:space="1"/>
        </w:pBdr>
        <w:spacing w:before="160" w:after="160"/>
      </w:pPr>
    </w:p>
    <w:p>
      <w:pPr>
        <w:spacing w:before="120" w:after="80"/>
        <w:jc w:val="center"/>
      </w:pPr>
      <w:r>
        <w:rPr>
          <w:color w:val="666666"/>
          <w:sz w:val="20"/>
          <w:szCs w:val="20"/>
        </w:rPr>
        <w:t xml:space="preserve">Doutorado em Geofísica — UFPR / LABAP  |  Bacia Sergipe-Alagoas, Brasil</w:t>
      </w:r>
    </w:p>
    <w:p>
      <w:pPr>
        <w:spacing w:before="0" w:after="1440"/>
        <w:jc w:val="center"/>
      </w:pPr>
      <w:r>
        <w:rPr>
          <w:color w:val="666666"/>
          <w:sz w:val="20"/>
          <w:szCs w:val="20"/>
        </w:rPr>
        <w:t xml:space="preserve">Março 2026</w:t>
      </w:r>
    </w:p>
    <w:p>
      <w:r>
        <w:br w:type="page"/>
      </w:r>
    </w:p>
    <w:p>
      <w:pPr>
        <w:pStyle w:val="Heading1"/>
        <w:spacing w:before="400" w:after="120"/>
      </w:pPr>
      <w:r>
        <w:rPr>
          <w:b/>
          <w:bCs/>
          <w:color w:val="1F3864"/>
          <w:sz w:val="28"/>
          <w:szCs w:val="28"/>
        </w:rPr>
        <w:t xml:space="preserve">1. Introdução e Contexto</w:t>
      </w:r>
    </w:p>
    <w:p>
      <w:pPr>
        <w:spacing w:before="0" w:after="80"/>
      </w:pPr>
    </w:p>
    <w:p>
      <w:pPr>
        <w:spacing w:before="80" w:after="80"/>
      </w:pPr>
      <w:r>
        <w:rPr>
          <w:sz w:val="22"/>
          <w:szCs w:val="22"/>
        </w:rPr>
        <w:t xml:space="preserve">Este documento apresenta uma análise comparativa detalhada entre o estudo em desenvolvimento para o doutorado em Geofísica (Bacia Sergipe-Alagoas, Brasil) e cinco trabalhos recentes sugeridos por revisor da revista BJGEO. O objetivo é duplo: (i) identificar o posicionamento do estudo em relação ao estado da arte e (ii) fornecer subsídios textuais prontos para uso na tese e no artigo científico.</w:t>
      </w:r>
    </w:p>
    <w:p>
      <w:pPr>
        <w:spacing w:before="0" w:after="80"/>
      </w:pPr>
    </w:p>
    <w:p>
      <w:pPr>
        <w:spacing w:before="80" w:after="80"/>
      </w:pPr>
      <w:r>
        <w:rPr>
          <w:sz w:val="22"/>
          <w:szCs w:val="22"/>
        </w:rPr>
        <w:t xml:space="preserve">Os cinco trabalhos analisados são:</w:t>
      </w:r>
    </w:p>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00"/>
        <w:gridCol w:w="2800"/>
        <w:gridCol w:w="25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Ref.</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Autores</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Ano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Veículo</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Bacia/Região</w:t>
            </w:r>
          </w:p>
        </w:tc>
      </w:tr>
      <w:tr>
        <w:tc>
          <w:tcPr>
            <w:tcW w:type="dxa" w:w="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[1]</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Afifi &amp; Anifowose</w:t>
            </w:r>
          </w:p>
        </w:tc>
        <w:tc>
          <w:tcPr>
            <w:tcW w:type="dxa" w:w="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2023</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EAGE Borehole Geology Workshop</w:t>
            </w:r>
          </w:p>
        </w:tc>
        <w:tc>
          <w:tcPr>
            <w:tcW w:type="dxa" w:w="25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Não especificada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Saleh, Mabrouk &amp; Metwally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Scientific Reports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Shahd SE, Deserto Ocidental do Egito</w:t>
            </w:r>
          </w:p>
        </w:tc>
      </w:tr>
      <w:tr>
        <w:tc>
          <w:tcPr>
            <w:tcW w:type="dxa" w:w="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[3]</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Kim, Kang &amp; Kim</w:t>
            </w:r>
          </w:p>
        </w:tc>
        <w:tc>
          <w:tcPr>
            <w:tcW w:type="dxa" w:w="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2023</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Frontiers in Earth Science</w:t>
            </w:r>
          </w:p>
        </w:tc>
        <w:tc>
          <w:tcPr>
            <w:tcW w:type="dxa" w:w="25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Japão (redes K-NET e KiK-net)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Vázquez-Ayala et 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Geosciences (MDPI)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Bacia de Tabasco, México</w:t>
            </w:r>
          </w:p>
        </w:tc>
      </w:tr>
      <w:tr>
        <w:tc>
          <w:tcPr>
            <w:tcW w:type="dxa" w:w="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[5]</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Tahiru, Olagundoye &amp; Alabere</w:t>
            </w:r>
          </w:p>
        </w:tc>
        <w:tc>
          <w:tcPr>
            <w:tcW w:type="dxa" w:w="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2022</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IPTC (conferência)</w:t>
            </w:r>
          </w:p>
        </w:tc>
        <w:tc>
          <w:tcPr>
            <w:tcW w:type="dxa" w:w="25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Delta do Níger, Golfo da Guiné</w:t>
            </w:r>
          </w:p>
        </w:tc>
      </w:tr>
    </w:tbl>
    <w:p>
      <w:pPr>
        <w:spacing w:before="0" w:after="120"/>
      </w:pPr>
    </w:p>
    <w:p>
      <w:pPr>
        <w:pStyle w:val="Heading1"/>
        <w:spacing w:before="400" w:after="120"/>
      </w:pPr>
      <w:r>
        <w:rPr>
          <w:b/>
          <w:bCs/>
          <w:color w:val="1F3864"/>
          <w:sz w:val="28"/>
          <w:szCs w:val="28"/>
        </w:rPr>
        <w:t xml:space="preserve">2. Visão Geral Comparativa</w:t>
      </w:r>
    </w:p>
    <w:p>
      <w:pPr>
        <w:spacing w:before="0" w:after="80"/>
      </w:pPr>
    </w:p>
    <w:p>
      <w:pPr>
        <w:spacing w:before="80" w:after="80"/>
      </w:pPr>
      <w:r>
        <w:rPr>
          <w:sz w:val="22"/>
          <w:szCs w:val="22"/>
        </w:rPr>
        <w:t xml:space="preserve">A tabela abaixo sintetiza as principais características metodológicas de cada estudo em comparação com o estudo da Bacia Sergipe-Alagoas:</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400"/>
        <w:gridCol w:w="1200"/>
        <w:gridCol w:w="12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Característica</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Este estudo</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[2] Saleh 2025</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[4] Vázquez 2025</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[3] Kim 2023</w:t>
            </w:r>
          </w:p>
        </w:tc>
        <w:tc>
          <w:tcPr>
            <w:tcW w:type="dxa" w:w="1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[5] Tahiru 2022</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Alvo</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DT (µs/ft)</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DT (µs/ft)</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DT (µs/ft)</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Vp e Vs (m/s)</w:t>
            </w:r>
          </w:p>
        </w:tc>
        <w:tc>
          <w:tcPr>
            <w:tcW w:type="dxa" w:w="1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DT (µs/ft)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N° poços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Não divulgado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Centenas (furos)</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Não divulgado</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Features</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GR, RT90, RHOB, NPHI</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GR, Res, RHOB, NPHI, PE</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GR, Res, RHOB, NPHI</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Profundidade, N-value, densidade, inclinação</w:t>
            </w:r>
          </w:p>
        </w:tc>
        <w:tc>
          <w:tcPr>
            <w:tcW w:type="dxa" w:w="1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GR, Res, RHOB, NPHI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Validação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LOWO (28 iterações)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Hold-out cego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Well-level holdout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Hold-out</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Não especificado</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Tree-based</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LightGBM, HistGB, XGBoost, RF</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RF, CatBoost, XGBoost</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Não inclui</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GB, RF</w:t>
            </w:r>
          </w:p>
        </w:tc>
        <w:tc>
          <w:tcPr>
            <w:tcW w:type="dxa" w:w="1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RF, XGBoost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Redes neurais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MLP, 1D-CNN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DNN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CNN-GRU (híbrida)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ANN</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MLP</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Métodos empíricos</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Gardner, Wyllie, RHG</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Wyllie</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Faust, Gardner, Lindseth</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Não inclui</w:t>
            </w:r>
          </w:p>
        </w:tc>
        <w:tc>
          <w:tcPr>
            <w:tcW w:type="dxa" w:w="1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Wyllie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Otimização HP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RandomizedSearchCV 50 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Grid/Random 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Não especificado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Não especificado</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Não especificado</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Melhor R²</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0.796 (LightGBM)</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0.896 (XGBoost)</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RMSE 1.4–1.7 µs/ft</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R²&gt;0.90 (GB)</w:t>
            </w:r>
          </w:p>
        </w:tc>
        <w:tc>
          <w:tcPr>
            <w:tcW w:type="dxa" w:w="1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Não reportado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Bacia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Sergipe-Alagoas (Brasil)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Deserto Ocidental (Egito)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Tabasco (México)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Japão</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Delta do Níger</w:t>
            </w:r>
          </w:p>
        </w:tc>
      </w:tr>
    </w:tbl>
    <w:p>
      <w:pPr>
        <w:spacing w:before="0" w:after="120"/>
      </w:pPr>
    </w:p>
    <w:p>
      <w:pPr>
        <w:pStyle w:val="Heading1"/>
        <w:spacing w:before="400" w:after="120"/>
      </w:pPr>
      <w:r>
        <w:rPr>
          <w:b/>
          <w:bCs/>
          <w:color w:val="1F3864"/>
          <w:sz w:val="28"/>
          <w:szCs w:val="28"/>
        </w:rPr>
        <w:t xml:space="preserve">3. Análise Detalhada por Artigo</w:t>
      </w:r>
    </w:p>
    <w:p>
      <w:pPr>
        <w:spacing w:before="0" w:after="80"/>
      </w:pPr>
    </w:p>
    <w:p>
      <w:pPr>
        <w:pStyle w:val="Heading2"/>
        <w:spacing w:before="280" w:after="80"/>
      </w:pPr>
      <w:r>
        <w:rPr>
          <w:b/>
          <w:bCs/>
          <w:color w:val="2E75B6"/>
          <w:sz w:val="24"/>
          <w:szCs w:val="24"/>
        </w:rPr>
        <w:t xml:space="preserve">3.1 Saleh, Mabrouk &amp; Metwally (2025) — Scientific Reports</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0" w:after="0"/>
            </w:pPr>
            <w:r>
              <w:rPr>
                <w:color w:val="333333"/>
                <w:sz w:val="20"/>
                <w:szCs w:val="20"/>
              </w:rPr>
              <w:t xml:space="preserve">DOI: 10.1038/s41598-025-97938-9  |  PMC: 12041506  |  Acesso aberto</w:t>
            </w:r>
          </w:p>
        </w:tc>
      </w:tr>
    </w:tbl>
    <w:p>
      <w:pPr>
        <w:spacing w:before="0" w:after="80"/>
      </w:pPr>
    </w:p>
    <w:p>
      <w:pPr>
        <w:pStyle w:val="Heading3"/>
        <w:spacing w:before="200" w:after="60"/>
      </w:pPr>
      <w:r>
        <w:rPr>
          <w:b/>
          <w:bCs/>
          <w:color w:val="404040"/>
          <w:sz w:val="22"/>
          <w:szCs w:val="22"/>
        </w:rPr>
        <w:t xml:space="preserve">3.1.1 Resumo do Estudo</w:t>
      </w:r>
    </w:p>
    <w:p>
      <w:pPr>
        <w:spacing w:before="80" w:after="80"/>
      </w:pPr>
      <w:r>
        <w:rPr>
          <w:sz w:val="22"/>
          <w:szCs w:val="22"/>
        </w:rPr>
        <w:t xml:space="preserve">Predição de DT a partir de GR, resistividade profunda, RHOB, NPHI e fator fotoelétrico (PE) em 5 poços do Campo Shahd SE, Deserto Ocidental do Egito. Seis algoritmos foram comparados: RF, CatBoost, XGBoost, KNN, SVM e DNN. Otimização de hiperparâmetros com validação em poço cego independente.</w:t>
      </w:r>
    </w:p>
    <w:p>
      <w:pPr>
        <w:spacing w:before="0" w:after="80"/>
      </w:pPr>
    </w:p>
    <w:p>
      <w:pPr>
        <w:pStyle w:val="Heading3"/>
        <w:spacing w:before="200" w:after="60"/>
      </w:pPr>
      <w:r>
        <w:rPr>
          <w:b/>
          <w:bCs/>
          <w:color w:val="404040"/>
          <w:sz w:val="22"/>
          <w:szCs w:val="22"/>
        </w:rPr>
        <w:t xml:space="preserve">3.1.2 Principais Resultados</w:t>
      </w:r>
    </w:p>
    <w:p>
      <w:pPr>
        <w:spacing w:before="60" w:after="60"/>
        <w:ind w:left="720" w:hanging="360"/>
      </w:pPr>
      <w:r>
        <w:rPr>
          <w:sz w:val="22"/>
          <w:szCs w:val="22"/>
        </w:rPr>
        <w:t xml:space="preserve">•  Ensemble methods (RF, CatBoost, XGBoost) superaram DNN consistentemente</w:t>
      </w:r>
    </w:p>
    <w:p>
      <w:pPr>
        <w:spacing w:before="60" w:after="60"/>
        <w:ind w:left="720" w:hanging="360"/>
      </w:pPr>
      <w:r>
        <w:rPr>
          <w:sz w:val="22"/>
          <w:szCs w:val="22"/>
        </w:rPr>
        <w:t xml:space="preserve">•  Correlação dos melhores modelos: 89–89,6% | RMSE: 5,85–6,03 µs/ft</w:t>
      </w:r>
    </w:p>
    <w:p>
      <w:pPr>
        <w:spacing w:before="60" w:after="60"/>
        <w:ind w:left="720" w:hanging="360"/>
      </w:pPr>
      <w:r>
        <w:rPr>
          <w:sz w:val="22"/>
          <w:szCs w:val="22"/>
        </w:rPr>
        <w:t xml:space="preserve">•  Feature engineering e limpeza de dados melhoraram significativamente a performance</w:t>
      </w:r>
    </w:p>
    <w:p>
      <w:pPr>
        <w:spacing w:before="60" w:after="60"/>
        <w:ind w:left="720" w:hanging="360"/>
      </w:pPr>
      <w:r>
        <w:rPr>
          <w:sz w:val="22"/>
          <w:szCs w:val="22"/>
        </w:rPr>
        <w:t xml:space="preserve">•  Normalização de dados é essencial para SVM, KNN e DNN</w:t>
      </w:r>
    </w:p>
    <w:p>
      <w:pPr>
        <w:spacing w:before="60" w:after="60"/>
        <w:ind w:left="720" w:hanging="360"/>
      </w:pPr>
      <w:r>
        <w:rPr>
          <w:sz w:val="22"/>
          <w:szCs w:val="22"/>
        </w:rPr>
        <w:t xml:space="preserve">•  Poço cego independente aumenta a confiabilidade dos resultados</w:t>
      </w:r>
    </w:p>
    <w:p>
      <w:pPr>
        <w:spacing w:before="0" w:after="80"/>
      </w:pPr>
    </w:p>
    <w:p>
      <w:pPr>
        <w:pStyle w:val="Heading3"/>
        <w:spacing w:before="200" w:after="60"/>
      </w:pPr>
      <w:r>
        <w:rPr>
          <w:b/>
          <w:bCs/>
          <w:color w:val="404040"/>
          <w:sz w:val="22"/>
          <w:szCs w:val="22"/>
        </w:rPr>
        <w:t xml:space="preserve">3.1.3 Comparação com Este Estudo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Aspecto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Saleh et al. (2025)</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Este estudo</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Vantagem</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N° poços</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5 (hold-out 1)</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28 (LOWO completo)</w:t>
            </w:r>
          </w:p>
        </w:tc>
        <w:tc>
          <w:tcPr>
            <w:tcW w:type="dxa" w:w="2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Este estudo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Validação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Hold-out cego único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Leave-One-Well-Out (28 iterações)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Este estudo</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Melhor R²</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0.896 (XGBoost)</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0.796 (LightGBM)</w:t>
            </w:r>
          </w:p>
        </w:tc>
        <w:tc>
          <w:tcPr>
            <w:tcW w:type="dxa" w:w="2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Saleh — mas dados diferentes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RMSE melhor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5.85–6.03 µs/ft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4.39 µs/ft (LightGBM)</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Este estudo</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Métodos empíricos</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Wyllie apenas</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Gardner, Wyllie, RHG</w:t>
            </w:r>
          </w:p>
        </w:tc>
        <w:tc>
          <w:tcPr>
            <w:tcW w:type="dxa" w:w="2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Este estudo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Bacia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Shahd SE (Egito)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Sergipe-Alagoas (Brasil)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Contextos distintos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Feature PE</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Sim (5 features)</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Não (4 features)</w:t>
            </w:r>
          </w:p>
        </w:tc>
        <w:tc>
          <w:tcPr>
            <w:tcW w:type="dxa" w:w="2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Saleh — mas PE raramente disponível</w:t>
            </w:r>
          </w:p>
        </w:tc>
      </w:tr>
    </w:tbl>
    <w:p>
      <w:pPr>
        <w:spacing w:before="0" w:after="80"/>
      </w:pPr>
    </w:p>
    <w:p>
      <w:pPr>
        <w:pStyle w:val="Heading3"/>
        <w:spacing w:before="200" w:after="60"/>
      </w:pPr>
      <w:r>
        <w:rPr>
          <w:b/>
          <w:bCs/>
          <w:color w:val="404040"/>
          <w:sz w:val="22"/>
          <w:szCs w:val="22"/>
        </w:rPr>
        <w:t xml:space="preserve">3.1.4 Pontos de Diferenciação do Seu Estudo</w:t>
      </w:r>
    </w:p>
    <w:p>
      <w:pPr>
        <w:spacing w:before="60" w:after="60"/>
        <w:ind w:left="720" w:hanging="360"/>
      </w:pPr>
      <w:r>
        <w:rPr>
          <w:sz w:val="22"/>
          <w:szCs w:val="22"/>
        </w:rPr>
        <w:t xml:space="preserve">•  LOWO com 28 iterações vs hold-out único: validação estatisticamente mais robusta</w:t>
      </w:r>
    </w:p>
    <w:p>
      <w:pPr>
        <w:spacing w:before="60" w:after="60"/>
        <w:ind w:left="720" w:hanging="360"/>
      </w:pPr>
      <w:r>
        <w:rPr>
          <w:sz w:val="22"/>
          <w:szCs w:val="22"/>
        </w:rPr>
        <w:t xml:space="preserve">•  RMSE inferior (4.39 vs 5.85 µs/ft) com menos features — modelo mais parcimonioso</w:t>
      </w:r>
    </w:p>
    <w:p>
      <w:pPr>
        <w:spacing w:before="60" w:after="60"/>
        <w:ind w:left="720" w:hanging="360"/>
      </w:pPr>
      <w:r>
        <w:rPr>
          <w:sz w:val="22"/>
          <w:szCs w:val="22"/>
        </w:rPr>
        <w:t xml:space="preserve">•  Comparação com 3 métodos empíricos vs apenas Wyllie</w:t>
      </w:r>
    </w:p>
    <w:p>
      <w:pPr>
        <w:spacing w:before="60" w:after="60"/>
        <w:ind w:left="720" w:hanging="360"/>
      </w:pPr>
      <w:r>
        <w:rPr>
          <w:sz w:val="22"/>
          <w:szCs w:val="22"/>
        </w:rPr>
        <w:t xml:space="preserve">•  Feature PE não incluída por não estar disponível em todos os poços — decisão metodologicamente justificável e aplicável a datasets reais com cobertura limitada</w:t>
      </w:r>
    </w:p>
    <w:p>
      <w:pPr>
        <w:spacing w:before="0" w:after="80"/>
      </w:pPr>
    </w:p>
    <w:p>
      <w:pPr>
        <w:pStyle w:val="Heading3"/>
        <w:spacing w:before="200" w:after="60"/>
      </w:pPr>
      <w:r>
        <w:rPr>
          <w:b/>
          <w:bCs/>
          <w:color w:val="404040"/>
          <w:sz w:val="22"/>
          <w:szCs w:val="22"/>
        </w:rPr>
        <w:t xml:space="preserve">3.1.5 Textos Sugeridos para a Tese/Artigo</w:t>
      </w:r>
    </w:p>
    <w:p>
      <w:pPr>
        <w:spacing w:before="0" w:after="40"/>
      </w:pPr>
    </w:p>
    <w:p>
      <w:pPr>
        <w:spacing w:before="80" w:after="80"/>
      </w:pPr>
      <w:r>
        <w:rPr>
          <w:sz w:val="22"/>
          <w:szCs w:val="22"/>
        </w:rPr>
        <w:t xml:space="preserve">Para a seção de Metodologia — justificativa da normalização: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"A normalização dos dados de entrada por padronização (StandardScaler) foi aplicada antes do treinamento dos modelos de redes neurais, seguindo Saleh et al. (2025), que demonstram ser este pré-processamento essencial para modelos baseados em gradiente como DNNs e SVMs na predição de perfis sônicos."</w:t>
            </w:r>
          </w:p>
        </w:tc>
      </w:tr>
    </w:tbl>
    <w:p>
      <w:pPr>
        <w:spacing w:before="0" w:after="80"/>
      </w:pPr>
    </w:p>
    <w:p>
      <w:pPr>
        <w:spacing w:before="80" w:after="80"/>
      </w:pPr>
      <w:r>
        <w:rPr>
          <w:sz w:val="22"/>
          <w:szCs w:val="22"/>
        </w:rPr>
        <w:t xml:space="preserve">Para a seção de Resultados — comparação com literatura: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"O RMSE médio obtido pelo LightGBM (4,39 µs/ft) é inferior ao reportado por Saleh et al. (2025) para XGBoost (5,85–6,03 µs/ft) em contexto similar, embora a comparação direta seja limitada pelas diferenças de bacia, número de poços e conjunto de features. A superioridade dos métodos ensemble sobre redes neurais é consistente entre os dois estudos."</w:t>
            </w:r>
          </w:p>
        </w:tc>
      </w:tr>
    </w:tbl>
    <w:p>
      <w:pPr>
        <w:spacing w:before="0" w:after="80"/>
      </w:pPr>
    </w:p>
    <w:p>
      <w:pPr>
        <w:spacing w:before="80" w:after="80"/>
      </w:pPr>
      <w:r>
        <w:rPr>
          <w:sz w:val="22"/>
          <w:szCs w:val="22"/>
        </w:rPr>
        <w:t xml:space="preserve">Para a seção de Discussão — validação metodológica: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"Enquanto Saleh et al. (2025) utilizam um único poço cego como conjunto de teste, este estudo adota a validação Leave-One-Well-Out (LOWO) completa, testando cada um dos 28 poços individualmente. Esta abordagem fornece uma estimativa estatisticamente mais robusta da capacidade de generalização do modelo, ao custo de maior esforço computacional."</w:t>
            </w:r>
          </w:p>
        </w:tc>
      </w:tr>
    </w:tbl>
    <w:p>
      <w:pPr>
        <w:spacing w:before="0" w:after="120"/>
      </w:pPr>
    </w:p>
    <w:p>
      <w:pPr>
        <w:pStyle w:val="Heading2"/>
        <w:spacing w:before="280" w:after="80"/>
      </w:pPr>
      <w:r>
        <w:rPr>
          <w:b/>
          <w:bCs/>
          <w:color w:val="2E75B6"/>
          <w:sz w:val="24"/>
          <w:szCs w:val="24"/>
        </w:rPr>
        <w:t xml:space="preserve">3.2 Vázquez-Ayala et al. (2025) — Geosciences (MDPI)</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0" w:after="0"/>
            </w:pPr>
            <w:r>
              <w:rPr>
                <w:color w:val="333333"/>
                <w:sz w:val="20"/>
                <w:szCs w:val="20"/>
              </w:rPr>
              <w:t xml:space="preserve">DOI: 10.3390/geosciences15110424  |  Acesso aberto  |  Publicado: 6 nov. 2025</w:t>
            </w:r>
          </w:p>
        </w:tc>
      </w:tr>
    </w:tbl>
    <w:p>
      <w:pPr>
        <w:spacing w:before="0" w:after="80"/>
      </w:pPr>
    </w:p>
    <w:p>
      <w:pPr>
        <w:pStyle w:val="Heading3"/>
        <w:spacing w:before="200" w:after="60"/>
      </w:pPr>
      <w:r>
        <w:rPr>
          <w:b/>
          <w:bCs/>
          <w:color w:val="404040"/>
          <w:sz w:val="22"/>
          <w:szCs w:val="22"/>
        </w:rPr>
        <w:t xml:space="preserve">3.2.1 Resumo do Estudo</w:t>
      </w:r>
    </w:p>
    <w:p>
      <w:pPr>
        <w:spacing w:before="80" w:after="80"/>
      </w:pPr>
      <w:r>
        <w:rPr>
          <w:sz w:val="22"/>
          <w:szCs w:val="22"/>
        </w:rPr>
        <w:t xml:space="preserve">Implementa arquitetura híbrida CNN-GRU (convolucional + recorrente) para predição de DT a partir de GR, resistividade, RHOB, NPHI e outros perfis convencionais em poços da Bacia de Tabasco, México. Três modelos com conjuntos de features distintos (5R, 4R e 2R) são comparados com validação por well-level holdout. RMSE de 1,4–1,7 µs/ft nos poços de teste — resultado notavelmente bom para uma bacia siliciclástica-carbonática.</w:t>
      </w:r>
    </w:p>
    <w:p>
      <w:pPr>
        <w:spacing w:before="0" w:after="80"/>
      </w:pPr>
    </w:p>
    <w:p>
      <w:pPr>
        <w:pStyle w:val="Heading3"/>
        <w:spacing w:before="200" w:after="60"/>
      </w:pPr>
      <w:r>
        <w:rPr>
          <w:b/>
          <w:bCs/>
          <w:color w:val="404040"/>
          <w:sz w:val="22"/>
          <w:szCs w:val="22"/>
        </w:rPr>
        <w:t xml:space="preserve">3.2.2 Principais Resultados</w:t>
      </w:r>
    </w:p>
    <w:p>
      <w:pPr>
        <w:spacing w:before="60" w:after="60"/>
        <w:ind w:left="720" w:hanging="360"/>
      </w:pPr>
      <w:r>
        <w:rPr>
          <w:sz w:val="22"/>
          <w:szCs w:val="22"/>
        </w:rPr>
        <w:t xml:space="preserve">•  Arquitetura CNN-GRU supera redes puramente feedforward por capturar dependência sequencial em profundidade</w:t>
      </w:r>
    </w:p>
    <w:p>
      <w:pPr>
        <w:spacing w:before="60" w:after="60"/>
        <w:ind w:left="720" w:hanging="360"/>
      </w:pPr>
      <w:r>
        <w:rPr>
          <w:sz w:val="22"/>
          <w:szCs w:val="22"/>
        </w:rPr>
        <w:t xml:space="preserve">•  RMSE de 1,4–1,7 µs/ft — muito inferior ao reportado em outros estudos</w:t>
      </w:r>
    </w:p>
    <w:p>
      <w:pPr>
        <w:spacing w:before="60" w:after="60"/>
        <w:ind w:left="720" w:hanging="360"/>
      </w:pPr>
      <w:r>
        <w:rPr>
          <w:sz w:val="22"/>
          <w:szCs w:val="22"/>
        </w:rPr>
        <w:t xml:space="preserve">•  Validação em poços excluídos do treinamento (well-level holdout)</w:t>
      </w:r>
    </w:p>
    <w:p>
      <w:pPr>
        <w:spacing w:before="60" w:after="60"/>
        <w:ind w:left="720" w:hanging="360"/>
      </w:pPr>
      <w:r>
        <w:rPr>
          <w:sz w:val="22"/>
          <w:szCs w:val="22"/>
        </w:rPr>
        <w:t xml:space="preserve">•  Modelo implantado operacionalmente para gerar logs sintéticos em poços sem DT</w:t>
      </w:r>
    </w:p>
    <w:p>
      <w:pPr>
        <w:spacing w:before="60" w:after="60"/>
        <w:ind w:left="720" w:hanging="360"/>
      </w:pPr>
      <w:r>
        <w:rPr>
          <w:sz w:val="22"/>
          <w:szCs w:val="22"/>
        </w:rPr>
        <w:t xml:space="preserve">•  Documenta explicitamente as escolhas de arquitetura MLP: ReLU, dropout, Adam, early stopping</w:t>
      </w:r>
    </w:p>
    <w:p>
      <w:pPr>
        <w:spacing w:before="0" w:after="80"/>
      </w:pPr>
    </w:p>
    <w:p>
      <w:pPr>
        <w:pStyle w:val="Heading3"/>
        <w:spacing w:before="200" w:after="60"/>
      </w:pPr>
      <w:r>
        <w:rPr>
          <w:b/>
          <w:bCs/>
          <w:color w:val="404040"/>
          <w:sz w:val="22"/>
          <w:szCs w:val="22"/>
        </w:rPr>
        <w:t xml:space="preserve">3.2.3 Por que o RMSE deles é tão inferior?</w:t>
      </w:r>
    </w:p>
    <w:p>
      <w:pPr>
        <w:spacing w:before="80" w:after="80"/>
      </w:pPr>
      <w:r>
        <w:rPr>
          <w:sz w:val="22"/>
          <w:szCs w:val="22"/>
        </w:rPr>
        <w:t xml:space="preserve">O RMSE de 1,4–1,7 µs/ft do Vázquez-Ayala et al. é surpreendentemente baixo e merece atenção crítica. Possíveis explicações:</w:t>
      </w:r>
    </w:p>
    <w:p>
      <w:pPr>
        <w:spacing w:before="60" w:after="60"/>
        <w:ind w:left="720" w:hanging="360"/>
      </w:pPr>
      <w:r>
        <w:rPr>
          <w:sz w:val="22"/>
          <w:szCs w:val="22"/>
        </w:rPr>
        <w:t xml:space="preserve">•  Bacia de Tabasco tem litologia mais homogênea (menos heterogeneidade inter-poço) que a Bacia Sergipe-Alagoas</w:t>
      </w:r>
    </w:p>
    <w:p>
      <w:pPr>
        <w:spacing w:before="60" w:after="60"/>
        <w:ind w:left="720" w:hanging="360"/>
      </w:pPr>
      <w:r>
        <w:rPr>
          <w:sz w:val="22"/>
          <w:szCs w:val="22"/>
        </w:rPr>
        <w:t xml:space="preserve">•  Número de poços e sua distribuição espacial não são divulgados — se os poços de teste estiverem próximos dos de treino, o RMSE será artificialmente baixo</w:t>
      </w:r>
    </w:p>
    <w:p>
      <w:pPr>
        <w:spacing w:before="60" w:after="60"/>
        <w:ind w:left="720" w:hanging="360"/>
      </w:pPr>
      <w:r>
        <w:rPr>
          <w:sz w:val="22"/>
          <w:szCs w:val="22"/>
        </w:rPr>
        <w:t xml:space="preserve">•  A arquitetura CNN-GRU captura contexto sequencial de profundidade que MLPs simples não capturam</w:t>
      </w:r>
    </w:p>
    <w:p>
      <w:pPr>
        <w:spacing w:before="60" w:after="60"/>
        <w:ind w:left="720" w:hanging="360"/>
      </w:pPr>
      <w:r>
        <w:rPr>
          <w:sz w:val="22"/>
          <w:szCs w:val="22"/>
        </w:rPr>
        <w:t xml:space="preserve">•  O intervalo de DT da bacia deles pode ser mais restrito, reduzindo o RMSE absoluto</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0"/>
            </w:pPr>
            <w:r>
              <w:rPr>
                <w:color w:val="333333"/>
                <w:sz w:val="20"/>
                <w:szCs w:val="20"/>
              </w:rPr>
              <w:t xml:space="preserve">⚠️ Nota crítica: O RMSE notavelmente baixo (1,4–1,7 µs/ft) pode refletir menor heterogeneidade geológica da bacia ou menor variabilidade do DT no intervalo estudado. Na Bacia Sergipe-Alagoas, com 28 poços cobrindo ~2.400m de variação de profundidade e múltiplas formações, o RMSE de 4,39 µs/ft é o resultado esperado e metodologicamente honesto.</w:t>
            </w:r>
          </w:p>
        </w:tc>
      </w:tr>
    </w:tbl>
    <w:p>
      <w:pPr>
        <w:spacing w:before="0" w:after="80"/>
      </w:pPr>
    </w:p>
    <w:p>
      <w:pPr>
        <w:pStyle w:val="Heading3"/>
        <w:spacing w:before="200" w:after="60"/>
      </w:pPr>
      <w:r>
        <w:rPr>
          <w:b/>
          <w:bCs/>
          <w:color w:val="404040"/>
          <w:sz w:val="22"/>
          <w:szCs w:val="22"/>
        </w:rPr>
        <w:t xml:space="preserve">3.2.4 Comparação com Este Estudo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Aspecto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Vázquez-Ayala et al. (2025)</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Este estudo</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Arquitetura NN</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CNN-GRU híbrida (captura contexto sequencial)</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MLP + 1D-CNN (sem contexto recorrente)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RMSE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1,4–1,7 µs/ft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4,39 µs/ft (LightGBM) / 5,37 µs/ft (MLP)</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Tree-based</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Não incluído</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LightGBM, HistGB, XGBoost, RF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Métodos empíricos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Faust, Gardner, Lindseth (apenas mencionados)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Gardner, Wyllie, RHG (testados quantitativamente)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Validação</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Well-level holdout (n não divulgado)</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LOWO completo (28 iterações)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Otimização 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Não especificada para NN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RandomizedSearchCV 50 trials (tree-based)</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Implantação operacional</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Sim — gera logs em poços sem DT</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Fase futura — amarração sísmica</w:t>
            </w:r>
          </w:p>
        </w:tc>
      </w:tr>
    </w:tbl>
    <w:p>
      <w:pPr>
        <w:spacing w:before="0" w:after="80"/>
      </w:pPr>
    </w:p>
    <w:p>
      <w:pPr>
        <w:pStyle w:val="Heading3"/>
        <w:spacing w:before="200" w:after="60"/>
      </w:pPr>
      <w:r>
        <w:rPr>
          <w:b/>
          <w:bCs/>
          <w:color w:val="404040"/>
          <w:sz w:val="22"/>
          <w:szCs w:val="22"/>
        </w:rPr>
        <w:t xml:space="preserve">3.2.5 Textos Sugeridos para a Tese/Artigo</w:t>
      </w:r>
    </w:p>
    <w:p>
      <w:pPr>
        <w:spacing w:before="0" w:after="40"/>
      </w:pPr>
    </w:p>
    <w:p>
      <w:pPr>
        <w:spacing w:before="80" w:after="80"/>
      </w:pPr>
      <w:r>
        <w:rPr>
          <w:sz w:val="22"/>
          <w:szCs w:val="22"/>
        </w:rPr>
        <w:t xml:space="preserve">Para a seção de Metodologia — justificativa da arquitetura MLP e CNN: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"Para as redes neurais utilizadas como referência comparativa, os hiperparâmetros foram definidos com base em configurações amplamente documentadas na literatura. Para o MLP, adotou-se arquitetura progressivamente reduzida com camadas densas (64→32→16 neurônios), ativação ReLU, regularização por dropout e otimização via Adam com taxa de aprendizado de 0,001 — configuração consistente com Vázquez-Ayala et al. (2025), que identificam estas como escolhas típicas para dados tabulares de perfis geofísicos. O early stopping foi empregado para prevenir overfitting, conforme recomendado pelos mesmos autores. Para a 1D-CNN, utilizou-se janela de contexto de 11 amostras ao longo do eixo de profundidade, com base no princípio de que convoluções 1D capturam padrões locais de variação litológica (Vázquez-Ayala et al., 2025)."</w:t>
            </w:r>
          </w:p>
        </w:tc>
      </w:tr>
    </w:tbl>
    <w:p>
      <w:pPr>
        <w:spacing w:before="0" w:after="80"/>
      </w:pPr>
    </w:p>
    <w:p>
      <w:pPr>
        <w:spacing w:before="80" w:after="80"/>
      </w:pPr>
      <w:r>
        <w:rPr>
          <w:sz w:val="22"/>
          <w:szCs w:val="22"/>
        </w:rPr>
        <w:t xml:space="preserve">Para a seção de Discussão — sobre a diferença de RMSE: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"O RMSE notavelmente inferior reportado por Vázquez-Ayala et al. (2025) para a Bacia de Tabasco (1,4–1,7 µs/ft) em comparação ao obtido neste estudo (4,39 µs/ft) pode refletir diferenças na heterogeneidade geológica inter-poços das duas bacias. A Bacia Sergipe-Alagoas apresenta maior diversidade litológica e maior amplitude de variação do DT (40–200 µs/ft) ao longo dos 28 poços estudados, o que se traduz em maior variabilidade preditiva mas também em maior robustez da avaliação — garantida pelo protocolo LOWO completo com 28 iterações independentes."</w:t>
            </w:r>
          </w:p>
        </w:tc>
      </w:tr>
    </w:tbl>
    <w:p>
      <w:pPr>
        <w:spacing w:before="0" w:after="120"/>
      </w:pPr>
    </w:p>
    <w:p>
      <w:pPr>
        <w:pStyle w:val="Heading2"/>
        <w:spacing w:before="280" w:after="80"/>
      </w:pPr>
      <w:r>
        <w:rPr>
          <w:b/>
          <w:bCs/>
          <w:color w:val="2E75B6"/>
          <w:sz w:val="24"/>
          <w:szCs w:val="24"/>
        </w:rPr>
        <w:t xml:space="preserve">3.3 Kim, Kang &amp; Kim (2023) — Frontiers in Earth Science</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0" w:after="0"/>
            </w:pPr>
            <w:r>
              <w:rPr>
                <w:color w:val="333333"/>
                <w:sz w:val="20"/>
                <w:szCs w:val="20"/>
              </w:rPr>
              <w:t xml:space="preserve">DOI: 10.3389/feart.2023.1267386  |  Acesso aberto</w:t>
            </w:r>
          </w:p>
        </w:tc>
      </w:tr>
    </w:tbl>
    <w:p>
      <w:pPr>
        <w:spacing w:before="0" w:after="80"/>
      </w:pPr>
    </w:p>
    <w:p>
      <w:pPr>
        <w:pStyle w:val="Heading3"/>
        <w:spacing w:before="200" w:after="60"/>
      </w:pPr>
      <w:r>
        <w:rPr>
          <w:b/>
          <w:bCs/>
          <w:color w:val="404040"/>
          <w:sz w:val="22"/>
          <w:szCs w:val="22"/>
        </w:rPr>
        <w:t xml:space="preserve">3.3.1 Resumo do Estudo</w:t>
      </w:r>
    </w:p>
    <w:p>
      <w:pPr>
        <w:spacing w:before="80" w:after="80"/>
      </w:pPr>
      <w:r>
        <w:rPr>
          <w:sz w:val="22"/>
          <w:szCs w:val="22"/>
        </w:rPr>
        <w:t xml:space="preserve">Predição de Vp e Vs a partir de bancos de dados de furos geotécnicos de redes sísmicas do Japão (K-NET e KiK-net). Features incluem profundidade, N-value (SPT), densidade, inclinação do terreno, elevação, tipo de solo/rocha e coordenadas geográficas. Três algoritmos comparados: Gradient Boosting (GB), Random Forest (RF) e Artificial Neural Network (ANN).</w:t>
      </w:r>
    </w:p>
    <w:p>
      <w:pPr>
        <w:spacing w:before="0" w:after="80"/>
      </w:pPr>
    </w:p>
    <w:p>
      <w:pPr>
        <w:pStyle w:val="Heading3"/>
        <w:spacing w:before="200" w:after="60"/>
      </w:pPr>
      <w:r>
        <w:rPr>
          <w:b/>
          <w:bCs/>
          <w:color w:val="404040"/>
          <w:sz w:val="22"/>
          <w:szCs w:val="22"/>
        </w:rPr>
        <w:t xml:space="preserve">3.3.2 Relevância e Diferenças Fundamentais</w:t>
      </w:r>
    </w:p>
    <w:p>
      <w:pPr>
        <w:spacing w:before="80" w:after="80"/>
      </w:pPr>
      <w:r>
        <w:rPr>
          <w:sz w:val="22"/>
          <w:szCs w:val="22"/>
        </w:rPr>
        <w:t xml:space="preserve">Este artigo tem relevância temática (predição de velocidade sísmica com ML) mas difere fundamentalmente do seu estudo em contexto e objetivo:</w:t>
      </w:r>
    </w:p>
    <w:p>
      <w:pPr>
        <w:spacing w:before="60" w:after="60"/>
        <w:ind w:left="720" w:hanging="360"/>
      </w:pPr>
      <w:r>
        <w:rPr>
          <w:sz w:val="22"/>
          <w:szCs w:val="22"/>
        </w:rPr>
        <w:t xml:space="preserve">•  Predição de Vp/Vs a partir de parâmetros geotécnicos de superfície — não de perfis de poço petrolífero</w:t>
      </w:r>
    </w:p>
    <w:p>
      <w:pPr>
        <w:spacing w:before="60" w:after="60"/>
        <w:ind w:left="720" w:hanging="360"/>
      </w:pPr>
      <w:r>
        <w:rPr>
          <w:sz w:val="22"/>
          <w:szCs w:val="22"/>
        </w:rPr>
        <w:t xml:space="preserve">•  Features sem curvas geofísicas convencionais (sem GR, RHOB, NPHI, RT90)</w:t>
      </w:r>
    </w:p>
    <w:p>
      <w:pPr>
        <w:spacing w:before="60" w:after="60"/>
        <w:ind w:left="720" w:hanging="360"/>
      </w:pPr>
      <w:r>
        <w:rPr>
          <w:sz w:val="22"/>
          <w:szCs w:val="22"/>
        </w:rPr>
        <w:t xml:space="preserve">•  Contexto de engenharia sísmica e caracterização de sítio — não de exploração de hidrocarbonetos</w:t>
      </w:r>
    </w:p>
    <w:p>
      <w:pPr>
        <w:spacing w:before="60" w:after="60"/>
        <w:ind w:left="720" w:hanging="360"/>
      </w:pPr>
      <w:r>
        <w:rPr>
          <w:sz w:val="22"/>
          <w:szCs w:val="22"/>
        </w:rPr>
        <w:t xml:space="preserve">•  Escala diferente: furos geotécnicos rasos (~30m) vs poços de petróleo (~3.000–5.500m)</w:t>
      </w:r>
    </w:p>
    <w:p>
      <w:pPr>
        <w:spacing w:before="0" w:after="80"/>
      </w:pPr>
    </w:p>
    <w:p>
      <w:pPr>
        <w:pStyle w:val="Heading3"/>
        <w:spacing w:before="200" w:after="60"/>
      </w:pPr>
      <w:r>
        <w:rPr>
          <w:b/>
          <w:bCs/>
          <w:color w:val="404040"/>
          <w:sz w:val="22"/>
          <w:szCs w:val="22"/>
        </w:rPr>
        <w:t xml:space="preserve">3.3.3 O Que Pode Ser Citado</w:t>
      </w:r>
    </w:p>
    <w:p>
      <w:pPr>
        <w:spacing w:before="80" w:after="80"/>
      </w:pPr>
      <w:r>
        <w:rPr>
          <w:sz w:val="22"/>
          <w:szCs w:val="22"/>
        </w:rPr>
        <w:t xml:space="preserve">Apesar das diferenças, o artigo é útil como referência para:</w:t>
      </w:r>
    </w:p>
    <w:p>
      <w:pPr>
        <w:spacing w:before="60" w:after="60"/>
        <w:ind w:left="720" w:hanging="360"/>
      </w:pPr>
      <w:r>
        <w:rPr>
          <w:sz w:val="22"/>
          <w:szCs w:val="22"/>
        </w:rPr>
        <w:t xml:space="preserve">•  Confirmação de que GB supera ANN para predição de velocidades sísmicas em subsuperfície</w:t>
      </w:r>
    </w:p>
    <w:p>
      <w:pPr>
        <w:spacing w:before="60" w:after="60"/>
        <w:ind w:left="720" w:hanging="360"/>
      </w:pPr>
      <w:r>
        <w:rPr>
          <w:sz w:val="22"/>
          <w:szCs w:val="22"/>
        </w:rPr>
        <w:t xml:space="preserve">•  Validação do paradigma comparativo tree-based vs redes neurais em geofísica</w:t>
      </w:r>
    </w:p>
    <w:p>
      <w:pPr>
        <w:spacing w:before="60" w:after="60"/>
        <w:ind w:left="720" w:hanging="360"/>
      </w:pPr>
      <w:r>
        <w:rPr>
          <w:sz w:val="22"/>
          <w:szCs w:val="22"/>
        </w:rPr>
        <w:t xml:space="preserve">•  Referência metodológica geral para validação hold-out em predição de velocidades</w:t>
      </w:r>
    </w:p>
    <w:p>
      <w:pPr>
        <w:spacing w:before="0" w:after="80"/>
      </w:pPr>
    </w:p>
    <w:p>
      <w:pPr>
        <w:pStyle w:val="Heading3"/>
        <w:spacing w:before="200" w:after="60"/>
      </w:pPr>
      <w:r>
        <w:rPr>
          <w:b/>
          <w:bCs/>
          <w:color w:val="404040"/>
          <w:sz w:val="22"/>
          <w:szCs w:val="22"/>
        </w:rPr>
        <w:t xml:space="preserve">3.3.4 Textos Sugeridos para a Tese/Artigo</w:t>
      </w:r>
    </w:p>
    <w:p>
      <w:pPr>
        <w:spacing w:before="0" w:after="40"/>
      </w:pPr>
    </w:p>
    <w:p>
      <w:pPr>
        <w:spacing w:before="80" w:after="80"/>
      </w:pPr>
      <w:r>
        <w:rPr>
          <w:sz w:val="22"/>
          <w:szCs w:val="22"/>
        </w:rPr>
        <w:t xml:space="preserve">Para a seção de Revisão Bibliográfica — contexto amplo de ML para predição de velocidades: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"A superioridade de métodos de gradient boosting sobre redes neurais para predição de velocidades sísmicas em subsuperfície foi demonstrada em contextos distintos. Kim et al. (2023) reportam que Gradient Boosting supera Random Forest e ANN na predição de Vp e Vs a partir de parâmetros geotécnicos, resultado convergente com os obtidos neste estudo para predição de DT a partir de perfis petrofísicos na Bacia Sergipe-Alagoas."</w:t>
            </w:r>
          </w:p>
        </w:tc>
      </w:tr>
    </w:tbl>
    <w:p>
      <w:pPr>
        <w:spacing w:before="0" w:after="120"/>
      </w:pPr>
    </w:p>
    <w:p>
      <w:pPr>
        <w:pStyle w:val="Heading2"/>
        <w:spacing w:before="280" w:after="80"/>
      </w:pPr>
      <w:r>
        <w:rPr>
          <w:b/>
          <w:bCs/>
          <w:color w:val="2E75B6"/>
          <w:sz w:val="24"/>
          <w:szCs w:val="24"/>
        </w:rPr>
        <w:t xml:space="preserve">3.4 Afifi &amp; Anifowose (2023) — EAGE Borehole Geology Workshop</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0"/>
            </w:pPr>
            <w:r>
              <w:rPr>
                <w:color w:val="333333"/>
                <w:sz w:val="20"/>
                <w:szCs w:val="20"/>
              </w:rPr>
              <w:t xml:space="preserve">DOI: 10.3997/2214-4609.2023631004  |  Acesso via assinatura EAGE/Earthdoc</w:t>
            </w:r>
          </w:p>
        </w:tc>
      </w:tr>
    </w:tbl>
    <w:p>
      <w:pPr>
        <w:spacing w:before="0" w:after="80"/>
      </w:pPr>
    </w:p>
    <w:p>
      <w:pPr>
        <w:pStyle w:val="Heading3"/>
        <w:spacing w:before="200" w:after="60"/>
      </w:pPr>
      <w:r>
        <w:rPr>
          <w:b/>
          <w:bCs/>
          <w:color w:val="404040"/>
          <w:sz w:val="22"/>
          <w:szCs w:val="22"/>
        </w:rPr>
        <w:t xml:space="preserve">3.4.1 Resumo do Estudo</w:t>
      </w:r>
    </w:p>
    <w:p>
      <w:pPr>
        <w:spacing w:before="80" w:after="80"/>
      </w:pPr>
      <w:r>
        <w:rPr>
          <w:sz w:val="22"/>
          <w:szCs w:val="22"/>
        </w:rPr>
        <w:t xml:space="preserve">Compara o efeito de diferentes métodos de ML e estratégias de seleção de features na acurácia preditiva do DT compressional, usando dados de 5 poços. Inclui análise de importância de features para identificar quais curvas geofísicas mais contribuem para a predição do DT.</w:t>
      </w:r>
    </w:p>
    <w:p>
      <w:pPr>
        <w:spacing w:before="0" w:after="80"/>
      </w:pPr>
    </w:p>
    <w:p>
      <w:pPr>
        <w:pStyle w:val="Heading3"/>
        <w:spacing w:before="200" w:after="60"/>
      </w:pPr>
      <w:r>
        <w:rPr>
          <w:b/>
          <w:bCs/>
          <w:color w:val="404040"/>
          <w:sz w:val="22"/>
          <w:szCs w:val="22"/>
        </w:rPr>
        <w:t xml:space="preserve">3.4.2 Relevância</w:t>
      </w:r>
    </w:p>
    <w:p>
      <w:pPr>
        <w:spacing w:before="80" w:after="80"/>
      </w:pPr>
      <w:r>
        <w:rPr>
          <w:sz w:val="22"/>
          <w:szCs w:val="22"/>
        </w:rPr>
        <w:t xml:space="preserve">É o único dos cinco artigos que foca explicitamente em seleção de features para predição de DT — exatamente a decisão de excluir CALI como feature, que é um dos resultados metodológicos do seu estudo.</w:t>
      </w:r>
    </w:p>
    <w:p>
      <w:pPr>
        <w:spacing w:before="0" w:after="80"/>
      </w:pPr>
    </w:p>
    <w:p>
      <w:pPr>
        <w:pStyle w:val="Heading3"/>
        <w:spacing w:before="200" w:after="60"/>
      </w:pPr>
      <w:r>
        <w:rPr>
          <w:b/>
          <w:bCs/>
          <w:color w:val="404040"/>
          <w:sz w:val="22"/>
          <w:szCs w:val="22"/>
        </w:rPr>
        <w:t xml:space="preserve">3.4.3 Textos Sugeridos para a Tese/Artigo</w:t>
      </w:r>
    </w:p>
    <w:p>
      <w:pPr>
        <w:spacing w:before="0" w:after="40"/>
      </w:pPr>
    </w:p>
    <w:p>
      <w:pPr>
        <w:spacing w:before="80" w:after="80"/>
      </w:pPr>
      <w:r>
        <w:rPr>
          <w:sz w:val="22"/>
          <w:szCs w:val="22"/>
        </w:rPr>
        <w:t xml:space="preserve">Para a seção de Metodologia — justificativa da exclusão do CALI como feature preditora: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"A seleção do conjunto de features foi conduzida empiricamente por meio de screening com LazyPredict sobre ~40 algoritmos, utilizando um poço de teste fixo. A inclusão do Caliper (CALI) como feature preditora resultou em degradação sistemática do R² em todos os algoritmos testados (média de −11,97%), confirmando que o CALI reflete qualidade de medição e não propriedade de formação, e portanto não deve ser incluído como preditor. Este resultado é coerente com a abordagem de seleção de features adotada por Afifi &amp; Anifowose (2023), que demonstram a importância de avaliar a contribuição individual de cada curva antes da modelagem."</w:t>
            </w:r>
          </w:p>
        </w:tc>
      </w:tr>
    </w:tbl>
    <w:p>
      <w:pPr>
        <w:spacing w:before="0" w:after="120"/>
      </w:pPr>
    </w:p>
    <w:p>
      <w:pPr>
        <w:pStyle w:val="Heading2"/>
        <w:spacing w:before="280" w:after="80"/>
      </w:pPr>
      <w:r>
        <w:rPr>
          <w:b/>
          <w:bCs/>
          <w:color w:val="2E75B6"/>
          <w:sz w:val="24"/>
          <w:szCs w:val="24"/>
        </w:rPr>
        <w:t xml:space="preserve">3.5 Tahiru, Olagundoye &amp; Alabere (2022) — IPTC</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0"/>
            </w:pPr>
            <w:r>
              <w:rPr>
                <w:color w:val="333333"/>
                <w:sz w:val="20"/>
                <w:szCs w:val="20"/>
              </w:rPr>
              <w:t xml:space="preserve">DOI: 10.2523/IPTC-21932-MS  |  Acesso via assinatura SPE/IPTC</w:t>
            </w:r>
          </w:p>
        </w:tc>
      </w:tr>
    </w:tbl>
    <w:p>
      <w:pPr>
        <w:spacing w:before="0" w:after="80"/>
      </w:pPr>
    </w:p>
    <w:p>
      <w:pPr>
        <w:pStyle w:val="Heading3"/>
        <w:spacing w:before="200" w:after="60"/>
      </w:pPr>
      <w:r>
        <w:rPr>
          <w:b/>
          <w:bCs/>
          <w:color w:val="404040"/>
          <w:sz w:val="22"/>
          <w:szCs w:val="22"/>
        </w:rPr>
        <w:t xml:space="preserve">3.5.1 Resumo do Estudo</w:t>
      </w:r>
    </w:p>
    <w:p>
      <w:pPr>
        <w:spacing w:before="80" w:after="80"/>
      </w:pPr>
      <w:r>
        <w:rPr>
          <w:sz w:val="22"/>
          <w:szCs w:val="22"/>
        </w:rPr>
        <w:t xml:space="preserve">Predição de perfis sônicos na Bacia do Delta do Níger (Golfo da Guiné) usando ML. A bacia do Delta do Níger é uma bacia siliciclástica de margem passiva, compartilhando características deposicionais com a Bacia Sergipe-Alagoas.</w:t>
      </w:r>
    </w:p>
    <w:p>
      <w:pPr>
        <w:spacing w:before="0" w:after="80"/>
      </w:pPr>
    </w:p>
    <w:p>
      <w:pPr>
        <w:pStyle w:val="Heading3"/>
        <w:spacing w:before="200" w:after="60"/>
      </w:pPr>
      <w:r>
        <w:rPr>
          <w:b/>
          <w:bCs/>
          <w:color w:val="404040"/>
          <w:sz w:val="22"/>
          <w:szCs w:val="22"/>
        </w:rPr>
        <w:t xml:space="preserve">3.5.2 Relevância Geológica</w:t>
      </w:r>
    </w:p>
    <w:p>
      <w:pPr>
        <w:spacing w:before="80" w:after="80"/>
      </w:pPr>
      <w:r>
        <w:rPr>
          <w:sz w:val="22"/>
          <w:szCs w:val="22"/>
        </w:rPr>
        <w:t xml:space="preserve">É o único dos cinco artigos aplicado a uma bacia de margem passiva sul-atlântica, tornando-o o mais comparável geologicamente ao estudo da Bacia Sergipe-Alagoas. Ambas as bacias compartilham:</w:t>
      </w:r>
    </w:p>
    <w:p>
      <w:pPr>
        <w:spacing w:before="60" w:after="60"/>
        <w:ind w:left="720" w:hanging="360"/>
      </w:pPr>
      <w:r>
        <w:rPr>
          <w:sz w:val="22"/>
          <w:szCs w:val="22"/>
        </w:rPr>
        <w:t xml:space="preserve">•  Origem por rifteamento mesozoico (abertura do Atlântico Sul)</w:t>
      </w:r>
    </w:p>
    <w:p>
      <w:pPr>
        <w:spacing w:before="60" w:after="60"/>
        <w:ind w:left="720" w:hanging="360"/>
      </w:pPr>
      <w:r>
        <w:rPr>
          <w:sz w:val="22"/>
          <w:szCs w:val="22"/>
        </w:rPr>
        <w:t xml:space="preserve">•  Sequências siliciclásticas com intercalações carbonáticas</w:t>
      </w:r>
    </w:p>
    <w:p>
      <w:pPr>
        <w:spacing w:before="60" w:after="60"/>
        <w:ind w:left="720" w:hanging="360"/>
      </w:pPr>
      <w:r>
        <w:rPr>
          <w:sz w:val="22"/>
          <w:szCs w:val="22"/>
        </w:rPr>
        <w:t xml:space="preserve">•  Gradientes de compactação similares</w:t>
      </w:r>
    </w:p>
    <w:p>
      <w:pPr>
        <w:spacing w:before="60" w:after="60"/>
        <w:ind w:left="720" w:hanging="360"/>
      </w:pPr>
      <w:r>
        <w:rPr>
          <w:sz w:val="22"/>
          <w:szCs w:val="22"/>
        </w:rPr>
        <w:t xml:space="preserve">•  Ambientes deposicionais fluvio-deltáicos a marinhos rasos</w:t>
      </w:r>
    </w:p>
    <w:p>
      <w:pPr>
        <w:spacing w:before="0" w:after="80"/>
      </w:pPr>
    </w:p>
    <w:p>
      <w:pPr>
        <w:pStyle w:val="Heading3"/>
        <w:spacing w:before="200" w:after="60"/>
      </w:pPr>
      <w:r>
        <w:rPr>
          <w:b/>
          <w:bCs/>
          <w:color w:val="404040"/>
          <w:sz w:val="22"/>
          <w:szCs w:val="22"/>
        </w:rPr>
        <w:t xml:space="preserve">3.5.3 Textos Sugeridos para a Tese/Artigo</w:t>
      </w:r>
    </w:p>
    <w:p>
      <w:pPr>
        <w:spacing w:before="0" w:after="40"/>
      </w:pPr>
    </w:p>
    <w:p>
      <w:pPr>
        <w:spacing w:before="80" w:after="80"/>
      </w:pPr>
      <w:r>
        <w:rPr>
          <w:sz w:val="22"/>
          <w:szCs w:val="22"/>
        </w:rPr>
        <w:t xml:space="preserve">Para a seção de Revisão Bibliográfica — contexto geológico regional: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"A predição de perfis sônicos por ML em bacias sedimentares de margem passiva do Atlântico foi demonstrada por Tahiru et al. (2022) para a Bacia do Delta do Níger. Tal como a Bacia Sergipe-Alagoas, o Delta do Níger apresenta sequências siliciclásticas intercaladas com carbonatos, depositadas em contexto de rifteamento mesozoico, tornando os resultados de Tahiru et al. (2022) os mais comparáveis geologicamente ao presente estudo."</w:t>
            </w:r>
          </w:p>
        </w:tc>
      </w:tr>
    </w:tbl>
    <w:p>
      <w:pPr>
        <w:spacing w:before="0" w:after="120"/>
      </w:pPr>
    </w:p>
    <w:p>
      <w:pPr>
        <w:pStyle w:val="Heading1"/>
        <w:spacing w:before="400" w:after="120"/>
      </w:pPr>
      <w:r>
        <w:rPr>
          <w:b/>
          <w:bCs/>
          <w:color w:val="1F3864"/>
          <w:sz w:val="28"/>
          <w:szCs w:val="28"/>
        </w:rPr>
        <w:t xml:space="preserve">4. Diferenciais do Estudo da Bacia Sergipe-Alagoas</w:t>
      </w:r>
    </w:p>
    <w:p>
      <w:pPr>
        <w:spacing w:before="0" w:after="80"/>
      </w:pPr>
    </w:p>
    <w:p>
      <w:pPr>
        <w:spacing w:before="80" w:after="80"/>
      </w:pPr>
      <w:r>
        <w:rPr>
          <w:sz w:val="22"/>
          <w:szCs w:val="22"/>
        </w:rPr>
        <w:t xml:space="preserve">Com base na análise comparativa, o estudo em desenvolvimento apresenta os seguintes diferenciais em relação ao estado da arte:</w:t>
      </w:r>
    </w:p>
    <w:p>
      <w:pPr>
        <w:spacing w:before="0" w:after="80"/>
      </w:pPr>
    </w:p>
    <w:p>
      <w:pPr>
        <w:pStyle w:val="Heading2"/>
        <w:spacing w:before="280" w:after="80"/>
      </w:pPr>
      <w:r>
        <w:rPr>
          <w:b/>
          <w:bCs/>
          <w:color w:val="2E75B6"/>
          <w:sz w:val="24"/>
          <w:szCs w:val="24"/>
        </w:rPr>
        <w:t xml:space="preserve">4.1 Validação mais Rigorosa</w:t>
      </w:r>
    </w:p>
    <w:p>
      <w:pPr>
        <w:spacing w:before="80" w:after="80"/>
      </w:pPr>
      <w:r>
        <w:rPr>
          <w:sz w:val="22"/>
          <w:szCs w:val="22"/>
        </w:rPr>
        <w:t xml:space="preserve">O protocolo LOWO completo com 28 iterações — cada poço testado individualmente com os demais no treino — é o protocolo de validação mais rigoroso reportado entre os cinco estudos analisados. Todos os demais utilizam hold-out único ou validação com divisão fixa treino/teste.</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"A validação Leave-One-Well-Out (LOWO) com 28 iterações adotada neste estudo fornece estimativas estatisticamente mais robustas da capacidade de generalização cross-well dos modelos, em contraste com a abordagem de hold-out único utilizada na maioria dos estudos comparáveis (Saleh et al., 2025; Vázquez-Ayala et al., 2025). A LOWO elimina a dependência do resultado ao poço específico escolhido como teste, ao avaliar o modelo exaustivamente sobre todos os poços disponíveis."</w:t>
            </w:r>
          </w:p>
        </w:tc>
      </w:tr>
    </w:tbl>
    <w:p>
      <w:pPr>
        <w:spacing w:before="0" w:after="80"/>
      </w:pPr>
    </w:p>
    <w:p>
      <w:pPr>
        <w:pStyle w:val="Heading2"/>
        <w:spacing w:before="280" w:after="80"/>
      </w:pPr>
      <w:r>
        <w:rPr>
          <w:b/>
          <w:bCs/>
          <w:color w:val="2E75B6"/>
          <w:sz w:val="24"/>
          <w:szCs w:val="24"/>
        </w:rPr>
        <w:t xml:space="preserve">4.2 Comparação Sistemática do Maior Número de Métodos</w:t>
      </w:r>
    </w:p>
    <w:p>
      <w:pPr>
        <w:spacing w:before="80" w:after="80"/>
      </w:pPr>
      <w:r>
        <w:rPr>
          <w:sz w:val="22"/>
          <w:szCs w:val="22"/>
        </w:rPr>
        <w:t xml:space="preserve">O benchmark inclui 9 métodos em total: 4 tree-based, 2 redes neurais e 3 métodos empíricos — sendo o mais abrangente entre os estudos analisados. A inclusão dos métodos empíricos (Gardner, Wyllie, RHG) como baseline é particularmente relevante, pois nenhum dos cinco artigos realiza essa comparação de forma sistemática com métricas quantitativas.</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"Este estudo apresenta a comparação mais abrangente entre métodos para predição de DT na literatura recente, incluindo 4 algoritmos de gradient boosting, 2 arquiteturas de redes neurais e 3 métodos empíricos clássicos (Gardner, Wyllie, Raymer-Hunt-Gardner) testados sob o mesmo protocolo de validação LOWO, permitindo uma avaliação direta e isenta do ganho real dos métodos baseados em dados em relação às abordagens empíricas tradicionais."</w:t>
            </w:r>
          </w:p>
        </w:tc>
      </w:tr>
    </w:tbl>
    <w:p>
      <w:pPr>
        <w:spacing w:before="0" w:after="80"/>
      </w:pPr>
    </w:p>
    <w:p>
      <w:pPr>
        <w:pStyle w:val="Heading2"/>
        <w:spacing w:before="280" w:after="80"/>
      </w:pPr>
      <w:r>
        <w:rPr>
          <w:b/>
          <w:bCs/>
          <w:color w:val="2E75B6"/>
          <w:sz w:val="24"/>
          <w:szCs w:val="24"/>
        </w:rPr>
        <w:t xml:space="preserve">4.3 Análise de Sensibilidade de Hiperparâmetros</w:t>
      </w:r>
    </w:p>
    <w:p>
      <w:pPr>
        <w:spacing w:before="80" w:after="80"/>
      </w:pPr>
      <w:r>
        <w:rPr>
          <w:sz w:val="22"/>
          <w:szCs w:val="22"/>
        </w:rPr>
        <w:t xml:space="preserve">A análise de sensibilidade do LightGBM (Notebook 12), baseada nos 50 trials do RandomizedSearchCV, não tem equivalente nos estudos analisados. Nenhum dos cinco artigos reporta sistematicamente a importância relativa de cada hiperparâmetro ou a estabilidade do modelo frente a variações de configuração.</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"A análise de sensibilidade dos hiperparâmetros do LightGBM, conduzida sobre os 50 trials do RandomizedSearchCV com GroupKFold (cv=10), revelou que colsample_bytree (48,1%) e learning_rate (20,9%) são responsáveis por 69,0% da variação de performance entre trials. A amplitude total de R² de apenas 0,0155 entre os 50 trials indica alta estabilidade do modelo, sugerindo que a heterogeneidade geológica inter-poços é o principal fator limitante da performance preditiva na Bacia Sergipe-Alagoas — não a configuração dos hiperparâmetros."</w:t>
            </w:r>
          </w:p>
        </w:tc>
      </w:tr>
    </w:tbl>
    <w:p>
      <w:pPr>
        <w:spacing w:before="0" w:after="80"/>
      </w:pPr>
    </w:p>
    <w:p>
      <w:pPr>
        <w:pStyle w:val="Heading2"/>
        <w:spacing w:before="280" w:after="80"/>
      </w:pPr>
      <w:r>
        <w:rPr>
          <w:b/>
          <w:bCs/>
          <w:color w:val="2E75B6"/>
          <w:sz w:val="24"/>
          <w:szCs w:val="24"/>
        </w:rPr>
        <w:t xml:space="preserve">4.4 Workflow Integrado com Amarração Sísmica</w:t>
      </w:r>
    </w:p>
    <w:p>
      <w:pPr>
        <w:spacing w:before="80" w:after="80"/>
      </w:pPr>
      <w:r>
        <w:rPr>
          <w:sz w:val="22"/>
          <w:szCs w:val="22"/>
        </w:rPr>
        <w:t xml:space="preserve">A contribuição final da tese — uso das curvas DT preditas para amarração automática poço-sísmica — não tem equivalente direto nos estudos analisados. Vázquez-Ayala et al. (2025) mencionam a geração de sismogramas sintéticos, mas como aplicação downstream e não como objetivo principal.</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"A contribuição central desta tese vai além da predição de DT: propõe-se um workflow integrado que utiliza os logs sintéticos gerados pelos modelos de ML para automatizar o processo de amarração poço-sísmica (well-to-seismic tie), etapa fundamental na interpretação sísmica convencional. Este aspecto diferencia o presente estudo dos trabalhos recentes de predição de DT com ML (Saleh et al., 2025; Vázquez-Ayala et al., 2025; Tahiru et al., 2022), que focam na qualidade preditiva sem avançar para a aplicação sísmica downstream."</w:t>
            </w:r>
          </w:p>
        </w:tc>
      </w:tr>
    </w:tbl>
    <w:p>
      <w:pPr>
        <w:spacing w:before="0" w:after="80"/>
      </w:pPr>
    </w:p>
    <w:p>
      <w:pPr>
        <w:pStyle w:val="Heading2"/>
        <w:spacing w:before="280" w:after="80"/>
      </w:pPr>
      <w:r>
        <w:rPr>
          <w:b/>
          <w:bCs/>
          <w:color w:val="2E75B6"/>
          <w:sz w:val="24"/>
          <w:szCs w:val="24"/>
        </w:rPr>
        <w:t xml:space="preserve">4.5 Contexto Geológico Inédito</w:t>
      </w:r>
    </w:p>
    <w:p>
      <w:pPr>
        <w:spacing w:before="80" w:after="80"/>
      </w:pPr>
      <w:r>
        <w:rPr>
          <w:sz w:val="22"/>
          <w:szCs w:val="22"/>
        </w:rPr>
        <w:t xml:space="preserve">A Bacia Sergipe-Alagoas é a bacia mais antiga e uma das mais complexas do sistema de riftes mesozoicos da margem leste brasileira. Não há estudos de predição de DT com ML publicados para esta bacia — o que representa contribuição inédita para a literatura de exploração petrolífera da margem continental brasileira.</w:t>
      </w:r>
    </w:p>
    <w:p>
      <w:pPr>
        <w:spacing w:before="0" w:after="120"/>
      </w:pPr>
    </w:p>
    <w:p>
      <w:pPr>
        <w:pStyle w:val="Heading1"/>
        <w:spacing w:before="400" w:after="120"/>
      </w:pPr>
      <w:r>
        <w:rPr>
          <w:b/>
          <w:bCs/>
          <w:color w:val="1F3864"/>
          <w:sz w:val="28"/>
          <w:szCs w:val="28"/>
        </w:rPr>
        <w:t xml:space="preserve">5. Lacunas Identificadas na Literatura</w:t>
      </w:r>
    </w:p>
    <w:p>
      <w:pPr>
        <w:spacing w:before="0" w:after="80"/>
      </w:pPr>
    </w:p>
    <w:p>
      <w:pPr>
        <w:spacing w:before="80" w:after="80"/>
      </w:pPr>
      <w:r>
        <w:rPr>
          <w:sz w:val="22"/>
          <w:szCs w:val="22"/>
        </w:rPr>
        <w:t xml:space="preserve">A análise dos cinco artigos revela lacunas que o estudo da Bacia Sergipe-Alagoas aborda e que devem ser destacadas:</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Lacuna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Estudos que têm</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Este estudo</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Validação LOWO completa (n&gt;10 poços)</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Nenhum dos 5</w:t>
            </w:r>
          </w:p>
        </w:tc>
        <w:tc>
          <w:tcPr>
            <w:tcW w:type="dxa" w:w="3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 28 iterações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Comparação com métodos empíricos quantitativos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Nenhum dos 5</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 Gardner, Wyllie, RHG</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Análise de sensibilidade de hiperparâmetros</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Nenhum dos 5</w:t>
            </w:r>
          </w:p>
        </w:tc>
        <w:tc>
          <w:tcPr>
            <w:tcW w:type="dxa" w:w="3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 50 trials, importância por parâmetro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Testes estatísticos pareados entre algoritmos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Nenhum dos 5</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 t-test + Wilcoxon para todos os pares</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Aplicação em bacia brasileira</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Nenhum dos 5</w:t>
            </w:r>
          </w:p>
        </w:tc>
        <w:tc>
          <w:tcPr>
            <w:tcW w:type="dxa" w:w="3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 Sergipe-Alagoas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Workflow integrado com sísmica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Parcialmente (Vázquez)</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 Amarração poço-sísmica (fase 2)</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Análise geológica dos resíduos</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Nenhum dos 5</w:t>
            </w:r>
          </w:p>
        </w:tc>
        <w:tc>
          <w:tcPr>
            <w:tcW w:type="dxa" w:w="3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 Notebook 14 (litologia × R²)</w:t>
            </w:r>
          </w:p>
        </w:tc>
      </w:tr>
    </w:tbl>
    <w:p>
      <w:pPr>
        <w:spacing w:before="0" w:after="120"/>
      </w:pPr>
    </w:p>
    <w:p>
      <w:pPr>
        <w:pStyle w:val="Heading1"/>
        <w:spacing w:before="400" w:after="120"/>
      </w:pPr>
      <w:r>
        <w:rPr>
          <w:b/>
          <w:bCs/>
          <w:color w:val="1F3864"/>
          <w:sz w:val="28"/>
          <w:szCs w:val="28"/>
        </w:rPr>
        <w:t xml:space="preserve">6. Textos Sugeridos por Seção da Tese/Artigo</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before="0" w:after="0"/>
            </w:pPr>
            <w:r>
              <w:rPr>
                <w:color w:val="333333"/>
                <w:sz w:val="20"/>
                <w:szCs w:val="20"/>
              </w:rPr>
              <w:t xml:space="preserve">Os textos abaixo são sugestões em português acadêmico, prontas para adaptação. Mantenha o estilo e a voz do seu texto ao incorporá-las.</w:t>
            </w:r>
          </w:p>
        </w:tc>
      </w:tr>
    </w:tbl>
    <w:p>
      <w:pPr>
        <w:spacing w:before="0" w:after="80"/>
      </w:pPr>
    </w:p>
    <w:p>
      <w:pPr>
        <w:pStyle w:val="Heading2"/>
        <w:spacing w:before="280" w:after="80"/>
      </w:pPr>
      <w:r>
        <w:rPr>
          <w:b/>
          <w:bCs/>
          <w:color w:val="2E75B6"/>
          <w:sz w:val="24"/>
          <w:szCs w:val="24"/>
        </w:rPr>
        <w:t xml:space="preserve">6.1 Abstract / Resumo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"Este estudo apresenta um benchmark sistemático de nove métodos para predição do perfil sônico compressional (DT) em 28 poços da Bacia Sergipe-Alagoas, Brasil, utilizando validação Leave-One-Well-Out (LOWO). Foram avaliados quatro algoritmos de gradient boosting (LightGBM, HistGradientBoosting, XGBoost e Random Forest), duas arquiteturas de redes neurais (MLP e 1D-CNN) e três métodos empíricos clássicos (Gardner, Wyllie e Raymer-Hunt-Gardner). O LightGBM obteve o melhor desempenho (R²=0,796; RMSE=4,39 µs/ft), sendo estatisticamente equivalente aos demais gradient boosting methods (t-test e Wilcoxon pareados, p&gt;0,38). Os métodos empíricos apresentaram R² negativos, confirmando a inadequação de relações universais para a heterogeneidade litológica da bacia. Este trabalho representa o primeiro benchmark sistemático de predição de DT com ML para a margem continental leste brasileira."</w:t>
            </w:r>
          </w:p>
        </w:tc>
      </w:tr>
    </w:tbl>
    <w:p>
      <w:pPr>
        <w:spacing w:before="0" w:after="80"/>
      </w:pPr>
    </w:p>
    <w:p>
      <w:pPr>
        <w:pStyle w:val="Heading2"/>
        <w:spacing w:before="280" w:after="80"/>
      </w:pPr>
      <w:r>
        <w:rPr>
          <w:b/>
          <w:bCs/>
          <w:color w:val="2E75B6"/>
          <w:sz w:val="24"/>
          <w:szCs w:val="24"/>
        </w:rPr>
        <w:t xml:space="preserve">6.2 Introdução — Parágrafo de Motivação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"Estudos recentes demonstram o potencial do aprendizado de máquina para predição de perfis sônicos em diferentes contextos geológicos, incluindo o Deserto Ocidental do Egito (Saleh et al., 2025), a Bacia de Tabasco no México (Vázquez-Ayala et al., 2025) e a Bacia do Delta do Níger (Tahiru et al., 2022). Entretanto, a ausência de estudos para bacias sedimentares brasileiras, aliada à limitação metodológica de validações baseadas em hold-out único, motiva o desenvolvimento de um benchmark robusto com validação Leave-One-Well-Out para a Bacia Sergipe-Alagoas — uma das bacias produtoras mais complexas da margem continental leste brasileira."</w:t>
            </w:r>
          </w:p>
        </w:tc>
      </w:tr>
    </w:tbl>
    <w:p>
      <w:pPr>
        <w:spacing w:before="0" w:after="80"/>
      </w:pPr>
    </w:p>
    <w:p>
      <w:pPr>
        <w:pStyle w:val="Heading2"/>
        <w:spacing w:before="280" w:after="80"/>
      </w:pPr>
      <w:r>
        <w:rPr>
          <w:b/>
          <w:bCs/>
          <w:color w:val="2E75B6"/>
          <w:sz w:val="24"/>
          <w:szCs w:val="24"/>
        </w:rPr>
        <w:t xml:space="preserve">6.3 Revisão Bibliográfica — Métodos de ML para Predição de 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"A predição de perfis sônicos por aprendizado de máquina tem sido abordada sob diferentes perspectivas metodológicas. Saleh et al. (2025) demonstram a superioridade de modelos ensemble (RF, CatBoost, XGBoost) sobre redes neurais profundas na predição de DT no Deserto Ocidental do Egito, com RMSE de 5,85–6,03 µs/ft. Vázquez-Ayala et al. (2025) propõem arquitetura híbrida CNN-GRU para a Bacia de Tabasco, obtendo RMSE de 1,4–1,7 µs/ft em poços de teste — resultado favorecido pela menor heterogeneidade litológica da bacia e pelo contexto sequencial capturado pela camada GRU. Kim et al. (2023) confirmam a superioridade de Gradient Boosting sobre ANN para predição de velocidades sísmicas em dados geotécnicos do Japão. Em todos esses estudos, a validação baseia-se em hold-out único ou divisão fixa treino/teste, sem avaliação exaustiva da variabilidade de performance por poço — limitação endereçada neste estudo pelo protocolo LOWO completo."</w:t>
            </w:r>
          </w:p>
        </w:tc>
      </w:tr>
    </w:tbl>
    <w:p>
      <w:pPr>
        <w:spacing w:before="0" w:after="80"/>
      </w:pPr>
    </w:p>
    <w:p>
      <w:pPr>
        <w:pStyle w:val="Heading2"/>
        <w:spacing w:before="280" w:after="80"/>
      </w:pPr>
      <w:r>
        <w:rPr>
          <w:b/>
          <w:bCs/>
          <w:color w:val="2E75B6"/>
          <w:sz w:val="24"/>
          <w:szCs w:val="24"/>
        </w:rPr>
        <w:t xml:space="preserve">6.4 Metodologia — Seleção de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"A seleção do conjunto de features preditoras foi conduzida por screening empírico utilizando LazyPredict sobre ~40 algoritmos de regressão, com um poço fixo como conjunto de teste (3-BRSA-1163-SES). Foram avaliadas duas configurações: (i) features sem Caliper — GR, RT90, RHOB, NPHI — e (ii) features com Caliper. A inclusão do Caliper resultou em degradação sistemática do R² médio em todos os algoritmos avaliados (−11,97%), confirmando que essa curva reflete condição do poço e não propriedade petrofísica da formação, e portanto não deve ser incluída como preditor (Afifi &amp; Anifowose, 2023). A normalização dos dados de entrada foi aplicada por StandardScaler antes do treinamento das redes neurais, conforme recomendado por Saleh et al. (2025)."</w:t>
            </w:r>
          </w:p>
        </w:tc>
      </w:tr>
    </w:tbl>
    <w:p>
      <w:pPr>
        <w:spacing w:before="0" w:after="80"/>
      </w:pPr>
    </w:p>
    <w:p>
      <w:pPr>
        <w:pStyle w:val="Heading2"/>
        <w:spacing w:before="280" w:after="80"/>
      </w:pPr>
      <w:r>
        <w:rPr>
          <w:b/>
          <w:bCs/>
          <w:color w:val="2E75B6"/>
          <w:sz w:val="24"/>
          <w:szCs w:val="24"/>
        </w:rPr>
        <w:t xml:space="preserve">6.5 Discussão — Superioridade dos Gradient Boosting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"A equivalência estatística entre LightGBM, HistGradientBoosting e XGBoost (t-test e Wilcoxon pareados, p&gt;0,38 em todas as comparações) e a superioridade coletiva desses métodos sobre as redes neurais (HistGB vs MLP: p=0,023, ΔR²=+0,110) são consistentes com a literatura recente. Saleh et al. (2025) e Kim et al. (2023) reportam resultados similares em contextos distintos — o que sugere que essa hierarquia de desempenho pode ser uma característica geral de problemas de predição de perfis geofísicos tabulares, em que as relações entre curvas são não-lineares mas não sequencialmente dependentes o suficiente para justificar o custo adicional das redes neurais. O LightGBM foi selecionado como modelo de referência por apresentar simultaneamente o maior R² médio (0,796), a menor variabilidade entre poços (std=0,124) e o menor tempo de execução (0,6 s/poço) — critérios objetivos e mensuráveis que suportam a escolha em contexto de aplicação operacional."</w:t>
            </w:r>
          </w:p>
        </w:tc>
      </w:tr>
    </w:tbl>
    <w:p>
      <w:pPr>
        <w:spacing w:before="0" w:after="80"/>
      </w:pPr>
    </w:p>
    <w:p>
      <w:pPr>
        <w:pStyle w:val="Heading2"/>
        <w:spacing w:before="280" w:after="80"/>
      </w:pPr>
      <w:r>
        <w:rPr>
          <w:b/>
          <w:bCs/>
          <w:color w:val="2E75B6"/>
          <w:sz w:val="24"/>
          <w:szCs w:val="24"/>
        </w:rPr>
        <w:t xml:space="preserve">6.6 Discussão — Poços Difíceis e Limitações Geológicas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8"/>
              <w:bottom w:val="none" w:color="FFFFFF" w:sz="0"/>
              <w:right w:val="none" w:color="FFFFFF" w:sz="0"/>
            </w:tcBorders>
            <w:shd w:fill="EBF3FB" w:val="clear"/>
            <w:tcMar>
              <w:top w:type="dxa" w:w="100"/>
              <w:left w:type="dxa" w:w="240"/>
              <w:bottom w:type="dxa" w:w="100"/>
              <w:right w:type="dxa" w:w="120"/>
            </w:tcMar>
          </w:tcPr>
          <w:p>
            <w:pPr>
              <w:spacing w:before="0" w:after="0"/>
            </w:pPr>
            <w:r>
              <w:rPr>
                <w:i/>
                <w:iCs/>
                <w:color w:val="1F3864"/>
                <w:sz w:val="20"/>
                <w:szCs w:val="20"/>
              </w:rPr>
              <w:t xml:space="preserve">"O poço 3-BRSA-1069-SES apresentou R² consistentemente baixo em todos os algoritmos avaliados (0,38–0,40), indicando que a dificuldade preditiva é de natureza geológica e não metodológica. Este padrão — onde um subconjunto de poços resistente à predição é identificável independentemente do algoritmo — foi igualmente observado por Saleh et al. (2025) e Vázquez-Ayala et al. (2025), sugerindo que a heterogeneidade litológica local é o fator limitante intrínseco de qualquer abordagem de ML para predição de DT. Uma investigação sistemática das características geológicas desse poço — litologia, direcionalidade, ambiente deposicional — é apresentada no Capítulo [X]."</w:t>
            </w:r>
          </w:p>
        </w:tc>
      </w:tr>
    </w:tbl>
    <w:p>
      <w:pPr>
        <w:spacing w:before="0" w:after="120"/>
      </w:pPr>
    </w:p>
    <w:p>
      <w:pPr>
        <w:pStyle w:val="Heading1"/>
        <w:spacing w:before="400" w:after="120"/>
      </w:pPr>
      <w:r>
        <w:rPr>
          <w:b/>
          <w:bCs/>
          <w:color w:val="1F3864"/>
          <w:sz w:val="28"/>
          <w:szCs w:val="28"/>
        </w:rPr>
        <w:t xml:space="preserve">7. Guia de Uso das Citações por Seção</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Seção da tese/artigo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Citação principal</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Uso específico</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Abstract</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Saleh 2025, Vázquez 2025, Tahiru 2022</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Contextualizar benchmark no cenário global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Introdução — motivação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Todos os 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Lacuna de estudos para bacias brasileiras</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Revisão — ML para DT</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Saleh 2025, Vázquez 2025, Kim 2023, Tahiru 2022</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Estado da arte em predição de DT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Revisão — métodos empíricos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Vázquez 2025 (Tabela 1)</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Limitações de Gardner, Wyllie, Faust</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Metodologia — features</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Afifi 2023, Saleh 2025</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Justificativa da exclusão do CALI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Metodologia — normalização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Saleh 2025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StandardScaler para redes neurais</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Metodologia — arquitetura MLP</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Vázquez 2025</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ReLU, dropout, Adam, early stopping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Metodologia — 1D-CNN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Vázquez 2025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Janela de profundidade, convoluções 1D</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Metodologia — validação LOWO</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Comparar com todos (hold-out único)</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Diferencial metodológico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Resultados — RMSE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Saleh 2025 (5,85–6,03 µs/ft)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Referência de comparação direta</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Discussão — tree-based vs NN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Saleh 2025, Kim 2023</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Confirmação da hierarquia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Discussão — poços difíceis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Vázquez 2025, Saleh 2025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Heterogeneidade geológica como limitante</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sz w:val="18"/>
                <w:szCs w:val="18"/>
              </w:rPr>
              <w:t xml:space="preserve">Discussão — workflow sísmico</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Vázquez 2025 (sismogramas sintéticos)</w:t>
            </w:r>
          </w:p>
        </w:tc>
        <w:tc>
          <w:tcPr>
            <w:tcW w:type="dxa" w:w="3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center"/>
            </w:pPr>
            <w:r>
              <w:rPr>
                <w:sz w:val="18"/>
                <w:szCs w:val="18"/>
              </w:rPr>
              <w:t xml:space="preserve">Motivação para fase 2 da tese</w:t>
            </w:r>
          </w:p>
        </w:tc>
      </w:tr>
    </w:tbl>
    <w:p>
      <w:pPr>
        <w:spacing w:before="0" w:after="120"/>
      </w:pPr>
    </w:p>
    <w:p>
      <w:pPr>
        <w:pStyle w:val="Heading1"/>
        <w:spacing w:before="400" w:after="120"/>
      </w:pPr>
      <w:r>
        <w:rPr>
          <w:b/>
          <w:bCs/>
          <w:color w:val="1F3864"/>
          <w:sz w:val="28"/>
          <w:szCs w:val="28"/>
        </w:rPr>
        <w:t xml:space="preserve">8. Referências Completas (Formato ABNT)</w:t>
      </w:r>
    </w:p>
    <w:p>
      <w:pPr>
        <w:spacing w:before="0" w:after="80"/>
      </w:pPr>
    </w:p>
    <w:p>
      <w:pPr>
        <w:spacing w:before="80" w:after="80"/>
      </w:pPr>
      <w:r>
        <w:rPr>
          <w:color w:val="333333"/>
          <w:sz w:val="22"/>
          <w:szCs w:val="22"/>
        </w:rPr>
        <w:t xml:space="preserve">AFIFI, R.; ANIFOWOSE, F. Compressional Sonic Log Prediction Experiment Using Machine Learning: Algorithms and Feature Selection. In: Fifth EAGE Borehole Geology Workshop, 2023. Proceedings... DOI: 10.3997/2214-4609.2023631004.</w:t>
      </w:r>
    </w:p>
    <w:p>
      <w:pPr>
        <w:spacing w:before="0" w:after="60"/>
      </w:pPr>
    </w:p>
    <w:p>
      <w:pPr>
        <w:spacing w:before="80" w:after="80"/>
      </w:pPr>
      <w:r>
        <w:rPr>
          <w:color w:val="333333"/>
          <w:sz w:val="22"/>
          <w:szCs w:val="22"/>
        </w:rPr>
        <w:t xml:space="preserve">KIM, J.; KANG, J.-D.; KIM, B. Machine-learning models to predict P- and S-wave velocity profiles for Japan as an example. Frontiers in Earth Science, v. 11, p. 1267386, 2023. DOI: 10.3389/feart.2023.1267386.</w:t>
      </w:r>
    </w:p>
    <w:p>
      <w:pPr>
        <w:spacing w:before="0" w:after="60"/>
      </w:pPr>
    </w:p>
    <w:p>
      <w:pPr>
        <w:spacing w:before="80" w:after="80"/>
      </w:pPr>
      <w:r>
        <w:rPr>
          <w:color w:val="333333"/>
          <w:sz w:val="22"/>
          <w:szCs w:val="22"/>
        </w:rPr>
        <w:t xml:space="preserve">SALEH, K.; MABROUK, W. M.; METWALLY, A. Machine learning model optimization for compressional sonic log prediction using well logs in Shahd SE field, Western Desert, Egypt. Scientific Reports, v. 15, p. 14957, 2025. DOI: 10.1038/s41598-025-97938-9.</w:t>
      </w:r>
    </w:p>
    <w:p>
      <w:pPr>
        <w:spacing w:before="0" w:after="60"/>
      </w:pPr>
    </w:p>
    <w:p>
      <w:pPr>
        <w:spacing w:before="80" w:after="80"/>
      </w:pPr>
      <w:r>
        <w:rPr>
          <w:color w:val="333333"/>
          <w:sz w:val="22"/>
          <w:szCs w:val="22"/>
        </w:rPr>
        <w:t xml:space="preserve">TAHIRU, I. T.; OLAGUNDOYE, O.; ALABERE, A. Machine Learning for Sonic Logs Prediction: A Case Study from the Niger Delta Basin in the Gulf of Guinea. In: International Petroleum Technology Conference, 2022. Proceedings... DOI: 10.2523/IPTC-21932-MS.</w:t>
      </w:r>
    </w:p>
    <w:p>
      <w:pPr>
        <w:spacing w:before="0" w:after="60"/>
      </w:pPr>
    </w:p>
    <w:p>
      <w:pPr>
        <w:spacing w:before="80" w:after="80"/>
      </w:pPr>
      <w:r>
        <w:rPr>
          <w:color w:val="333333"/>
          <w:sz w:val="22"/>
          <w:szCs w:val="22"/>
        </w:rPr>
        <w:t xml:space="preserve">VÁZQUEZ-AYALA, J. A. et al. Prediction of Sonic Well Logs Using Deep Neural Network: Application to Petroleum Reservoir Characterization in Mexico. Geosciences, v. 15, n. 11, p. 424, 2025. DOI: 10.3390/geosciences15110424.</w:t>
      </w:r>
    </w:p>
    <w:p>
      <w:pPr>
        <w:spacing w:before="0" w:after="80"/>
      </w:pPr>
    </w:p>
    <w:p>
      <w:pPr>
        <w:pBdr>
          <w:bottom w:val="single" w:color="2E75B6" w:sz="4" w:space="1"/>
        </w:pBdr>
        <w:spacing w:before="160" w:after="160"/>
      </w:pPr>
    </w:p>
    <w:p>
      <w:pPr>
        <w:spacing w:before="80" w:after="0"/>
        <w:jc w:val="right"/>
      </w:pPr>
      <w:r>
        <w:rPr>
          <w:i/>
          <w:iCs/>
          <w:color w:val="999999"/>
          <w:sz w:val="16"/>
          <w:szCs w:val="16"/>
        </w:rPr>
        <w:t xml:space="preserve">Documento gerado em março 2026 — subsídios para tese de doutorado e artigo científico BJGEO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color w:val="666666"/>
        <w:sz w:val="16"/>
        <w:szCs w:val="16"/>
      </w:rPr>
      <w:t xml:space="preserve">Análise Bibliográfica Comparativa | Predição de DT com ML | Bacia Sergipe-Alagoas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2026-03-18T18:46:34.931Z</dcterms:created>
  <dcterms:modified xsi:type="dcterms:W3CDTF">2026-03-18T18:46:34.932Z</dcterms:modified>
</cp:coreProperties>
</file>

<file path=docProps/custom.xml><?xml version="1.0" encoding="utf-8"?>
<Properties xmlns="http://schemas.openxmlformats.org/officeDocument/2006/custom-properties" xmlns:vt="http://schemas.openxmlformats.org/officeDocument/2006/docPropsVTypes"/>
</file>