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Análise de Sensibilidade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HistGradientBoosting · Predição de DT · Bacia Sergipe-Alagoas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Notebook 12 · RandomizedSearchCV · 50 Trials · GroupKFold (cv=10) · LOWO 32 Poços</w:t>
      </w:r>
    </w:p>
    <w:p>
      <w:pPr>
        <w:pBdr>
          <w:bottom w:val="single" w:color="2E75B6" w:sz="4" w:space="1"/>
        </w:pBdr>
        <w:spacing w:after="200"/>
      </w:pP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Objetivo da Análise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notebook 12 investiga como os seis hiperparâmetros do HistGradientBoosting afetam a performance de predição do log sônico (DT). A análise utiliza os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50 trials do RandomizedSearchCV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(GroupKFold, cv=10), já executados no notebook 06, onde cada trial registrou os valores dos hiperparâmetros testados e o R² médio correspondente. O objetivo não é refazer o tuning, mas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entender o que foi aprendido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durante ele: quais parâmetros importam mais, em qual direção, e se o modelo é estável o suficiente para aplicação geofísica prática.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Interpretação metodológica: esta análise justifica a validade do processo de otimização realizado, demonstrando que o RandomizedSearchCV com 50 trials foi suficiente para cobrir o espaço relevante de hiperparâmetros — argumento importante para a defesa da tese.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Resultados Gerais do Tuning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Métricas dos 50 Trials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tabela abaixo resume as métricas de performance obtidas durante o RandomizedSearchCV e a validação final LOWO: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Melhor R² (GroupKFold)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2"/>
                <w:sz w:val="20"/>
                <w:szCs w:val="20"/>
              </w:rPr>
              <w:t xml:space="preserve">0.8144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Trial com lr = 0.036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R² médio (GroupKFold)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0.8062 ± 0.0058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Alta concentração próxima ao melhor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Pior R² (GroupKFold)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0.7908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Amplitude total de apenas 0.0236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R² LOWO (teste real)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0.7383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Generalização entre 32 poços</w:t>
            </w:r>
          </w:p>
        </w:tc>
      </w:tr>
      <w:tr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Gap CV → LOWO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0.0761</w:t>
            </w:r>
          </w:p>
        </w:tc>
        <w:tc>
          <w:tcPr>
            <w:tcW w:type="dxa" w:w="312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Efeito da heterogeneidade geológica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gap de 0.076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entre o R² interno (GroupKFold: 0.8144) e o R² LOWO real (0.7383) é um resultado central desta análise. Ele não indica problema de otimização — o GroupKFold já separa os dados por poço para evitar data leakage. O gap reflete a </w:t>
      </w: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variabilidade geológica genuína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entre poços da Bacia Sergipe-Alagoas que as features disponíveis (GR, RT90, RHOB, NPHI) não conseguem capturar completamente.</w:t>
      </w:r>
    </w:p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Importância dos Hiperparâmetros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Metodologia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importância foi estimada treinando um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Random Forest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sobre os 50 trials, onde os hiperparâmetros são as features e o R² médio (GroupKFold) é o target. A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correlação de Spearman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complementa a análise indicando a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direção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do efeito — se valores maiores ou menores de cada hiperparâmetro tendem a produzir melhor performance. Spearman foi escolhido (em detrimento de Pearson) porque captura relações monotônicas não-lineares, mais adequado para o comportamento típico de hiperparâmetros em boosting.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Tabela de Importância e Direção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2100"/>
        <w:gridCol w:w="1860"/>
      </w:tblGrid>
      <w:tr>
        <w:tc>
          <w:tcPr>
            <w:tcW w:type="dxa" w:w="24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Hiperparâmetro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Importância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Spearman</w:t>
            </w:r>
          </w:p>
        </w:tc>
        <w:tc>
          <w:tcPr>
            <w:tcW w:type="dxa" w:w="21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18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Ótimo</w:t>
            </w:r>
          </w:p>
        </w:tc>
      </w:tr>
      <w:tr>
        <w:tc>
          <w:tcPr>
            <w:tcW w:type="dxa" w:w="24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2"/>
                <w:sz w:val="20"/>
                <w:szCs w:val="20"/>
              </w:rPr>
              <w:t xml:space="preserve">43.9%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2"/>
                <w:sz w:val="20"/>
                <w:szCs w:val="20"/>
              </w:rPr>
              <w:t xml:space="preserve">−0.68</w:t>
            </w:r>
          </w:p>
        </w:tc>
        <w:tc>
          <w:tcPr>
            <w:tcW w:type="dxa" w:w="21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2"/>
                <w:sz w:val="20"/>
                <w:szCs w:val="20"/>
              </w:rPr>
              <w:t xml:space="preserve">menor = melhor</w:t>
            </w:r>
          </w:p>
        </w:tc>
        <w:tc>
          <w:tcPr>
            <w:tcW w:type="dxa" w:w="18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0.036</w:t>
            </w:r>
          </w:p>
        </w:tc>
      </w:tr>
      <w:tr>
        <w:tc>
          <w:tcPr>
            <w:tcW w:type="dxa" w:w="24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max_iter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34.0%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−0.37</w:t>
            </w:r>
          </w:p>
        </w:tc>
        <w:tc>
          <w:tcPr>
            <w:tcW w:type="dxa" w:w="21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menor = melhor</w:t>
            </w:r>
          </w:p>
        </w:tc>
        <w:tc>
          <w:tcPr>
            <w:tcW w:type="dxa" w:w="18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4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max_depth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7.2%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−0.35</w:t>
            </w:r>
          </w:p>
        </w:tc>
        <w:tc>
          <w:tcPr>
            <w:tcW w:type="dxa" w:w="21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menor = melhor</w:t>
            </w:r>
          </w:p>
        </w:tc>
        <w:tc>
          <w:tcPr>
            <w:tcW w:type="dxa" w:w="18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l2_regularization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6.2%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−0.11</w:t>
            </w:r>
          </w:p>
        </w:tc>
        <w:tc>
          <w:tcPr>
            <w:tcW w:type="dxa" w:w="21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menor = melhor</w:t>
            </w:r>
          </w:p>
        </w:tc>
        <w:tc>
          <w:tcPr>
            <w:tcW w:type="dxa" w:w="18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5.36</w:t>
            </w:r>
          </w:p>
        </w:tc>
      </w:tr>
      <w:tr>
        <w:tc>
          <w:tcPr>
            <w:tcW w:type="dxa" w:w="24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max_leaf_nodes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6.1%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−0.22</w:t>
            </w:r>
          </w:p>
        </w:tc>
        <w:tc>
          <w:tcPr>
            <w:tcW w:type="dxa" w:w="21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menor = melhor</w:t>
            </w:r>
          </w:p>
        </w:tc>
        <w:tc>
          <w:tcPr>
            <w:tcW w:type="dxa" w:w="18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24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2.7%</w:t>
            </w:r>
          </w:p>
        </w:tc>
        <w:tc>
          <w:tcPr>
            <w:tcW w:type="dxa" w:w="15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+0.15</w:t>
            </w:r>
          </w:p>
        </w:tc>
        <w:tc>
          <w:tcPr>
            <w:tcW w:type="dxa" w:w="21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maior = melhor</w:t>
            </w:r>
          </w:p>
        </w:tc>
        <w:tc>
          <w:tcPr>
            <w:tcW w:type="dxa" w:w="18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Interpretação por Hiperparâmetro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learning_rate — 43.9% (dominante)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 parâmetro mais crítico do modelo. O Spearman de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−0.68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indica relação monotônica forte e clara: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taxas menores produzem consistentemente R² maior.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O melhor trial usou lr = 0.036, bem abaixo do limite superior explorado (0.20). Isso é coerente com o princípio fundamental do gradient boosting: uma taxa de aprendizado menor permite correções graduais e acumuladas, chegando a um modelo mais refinado, enquanto taxas altas "pulam" sobre o mínimo e convergem em regiões subótimas.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max_iter — 34.0%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Segundo parâmetro mais importante, com uma nuance: o Spearman de −0.37 indica tendência negativa,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mas a relação é mais ruidosa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do que a do learning_rate. Isso ocorre porque max_iter não age isoladamente — seu efeito depende do learning_rate. Um learning_rate baixo com max_iter alto pode ser excelente; o mesmo max_iter com learning_rate alto é ruim. Essa interação explica por que o max_iter parece "importar menos" em análise univariada do que na análise de interação.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max_depth, l2_regularization, max_leaf_nodes — 6–7% cada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três parâmetros estruturais têm importância similar e reduzida. Todos com Spearman negativo: o modelo prefere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árvores rasas e regularização moderada.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Isso é coerente com o contexto LOWO: árvores profundas tendem a memorizar padrões específicos de cada poço de treino, prejudicando a generalização para o poço de teste. max_depth = 4 e max_leaf_nodes = 47 representam uma complexidade suficiente para capturar as relações físicas entre os logs sem overfittar.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min_samples_leaf — 2.7% (efeito mínimo)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Único parâmetro com Spearman positivo (+0.15): folhas com mais amostras ajudam levemente, mas o efeito é tão pequeno que praticamente não há relação. Este parâmetro pode ser fixado em qualquer valor razoável sem impactar a performance.</w:t>
      </w:r>
    </w:p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Interação entre Hiperparâmetros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dois parâmetros mais importantes —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learning_rate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max_iter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— controlam juntos a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velocidade de convergência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do algoritmo de boosting. Sua interação é o resultado mais rico desta análise: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Região ótima: learning_rate baixo (0.02–0.06) com max_iter moderado (200–300)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Combinação ruim: learning_rate alto (&gt;0.10) com max_iter alto (&gt;400) — convergência rápida para mínimo local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Combinação aceitável: learning_rate muito baixo com max_iter alto — funciona, mas desnecessariamente lento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Princípio do trade-off: um learning_rate menor exige mais iterações para convergir ao mesmo ponto — a relação entre os dois é um trade-off clássico do gradient boosting. O tuning encontrou o equilíbrio ótimo em lr = 0.036 e max_iter = 300.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 contraste, a análise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learning_rate × max_depth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não exibe interação relevante: árvores rasas (max_depth = 4) são melhores independentemente do valor de learning_rate. Os dois parâmetros agem de forma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aditiva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, não multiplicativa.</w:t>
      </w:r>
    </w:p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Estabilidade do Modelo</w:t>
      </w:r>
    </w:p>
    <w:p>
      <w:pPr>
        <w:spacing w:after="160"/>
        <w:jc w:val="both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amplitude total de R² entre os 50 trials é de apenas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0.0236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. Esse valor pequeno, combinado com a concentração da distribuição à direita (maioria dos trials acima de 0.806), demonstra que o HistGradientBoosting exibe </w:t>
      </w: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estabilidade moderada-alta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neste problema.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 que a estabilidade implica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Qualquer trial entre os top-10 seria uma escolha válida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 modelo não depende criticamente de hiperparâmetros exatos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trials foram suficientes para cobrir o espaço relevante</w:t>
            </w:r>
          </w:p>
        </w:tc>
        <w:tc>
          <w:tcPr>
            <w:tcW w:type="dxa" w:w="468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O que a estabilidade NÃO implica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 refinamentos adicionais melhorariam consideravelmente o R²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 os hiperparâmetros são irrelevantes para a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Que o gap CV → LOWO pode ser eliminado por mais tuning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Limitações e Margem de Melhoria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tuning de hiperparâmetros já está próximo do seu limite de contribuição.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A margem de melhoria de performance do HistGB neste conjunto de dados provavelmente não supera 1–2 pontos de R², e viria de outras fontes: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7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Engenharia de features</w:t>
            </w:r>
          </w:p>
        </w:tc>
        <w:tc>
          <w:tcPr>
            <w:tcW w:type="dxa" w:w="37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Gradiente local de RHOB, profundidade relativa, razão NPHI/RHOB — capturar compactação e contexto estratigráfico</w:t>
            </w:r>
          </w:p>
        </w:tc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Segmentação litológica</w:t>
            </w:r>
          </w:p>
        </w:tc>
        <w:tc>
          <w:tcPr>
            <w:tcW w:type="dxa" w:w="37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Modelos separados por fácies (carbonato vs. siliciclástico) usando a coluna Lithology disponível</w:t>
            </w:r>
          </w:p>
        </w:tc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Ensemble de modelos</w:t>
            </w:r>
          </w:p>
        </w:tc>
        <w:tc>
          <w:tcPr>
            <w:tcW w:type="dxa" w:w="37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Média ponderada de HistGB + XGBoost + LightGBM + RF (todos com R² ≈ 0.737–0.738)</w:t>
            </w:r>
          </w:p>
        </w:tc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2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Análise de poços problemáticos</w:t>
            </w:r>
          </w:p>
        </w:tc>
        <w:tc>
          <w:tcPr>
            <w:tcW w:type="dxa" w:w="376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Identificar poços com R² individual baixo e investigar causas geológicas/qualidade dos logs</w:t>
            </w:r>
          </w:p>
        </w:tc>
        <w:tc>
          <w:tcPr>
            <w:tcW w:type="dxa" w:w="2800"/>
            <w:tcBorders>
              <w:top w:val="single" w:color="BBCFDD" w:sz="1"/>
              <w:left w:val="single" w:color="BBCFDD" w:sz="1"/>
              <w:bottom w:val="single" w:color="BBCFDD" w:sz="1"/>
              <w:right w:val="single" w:color="BBCF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B32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Conclusões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8"/>
              <w:bottom w:val="none" w:color="FFFFFF" w:sz="0"/>
              <w:right w:val="none" w:color="FFFFFF" w:sz="0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  <w:jc w:val="both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Síntese: a análise de sensibilidade demonstra que o RandomizedSearchCV com 50 trials produziu uma configuração bem ajustada de hiperparâmetros, e que refinamentos adicionais não contribuiriam significativamente para as predições. A variabilidade residual — especialmente nos poços com baixo desempenho individual — não é um problema de otimização do modelo, mas reflexo da heterogeneidade geológica intrínseca da Bacia Sergipe-Alagoas, que as features disponíveis (GR, RT90, RHOB, NPHI) não conseguem capturar completamente.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Dominância de dois parâmetros: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learning_rate (43.9%) e max_iter (34.0%) explicam 77.9% da variação de performance entre os 50 trials. Os demais quatro hiperparâmetros contribuem com apenas 22.1% juntos.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Trade-off de convergência: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 interação learning_rate × max_iter confirma o princípio fundamental do gradient boosting — passos menores exigem mais iterações, mas chegam ao mínimo com maior precisão. O valor ótimo (lr = 0.036, max_iter = 300) representa o equilíbrio ideal para este problema.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Preferência por simplicidade estrutural: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max_depth = 4 e max_leaf_nodes = 47 indicam que árvores rasas generalizam melhor no contexto LOWO — coerente com a necessidade de capturar tendências gerais da bacia sem memorizar padrões específicos de cada poço.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Alta estabilidade: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amplitude de apenas 0.0236 entre melhor e pior trial indica robustez à escolha de hiperparâmetros. Isso fortalece a validade metodológica do benchmark.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O teto do modelo é geológico: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o gap de 0.076 entre R² interno e LOWO real não é eliminável por mais tuning — ele representa a heterogeneidade geológica genuína entre poços que as features petrofísicas disponíveis não capturam completamente.</w:t>
      </w:r>
    </w:p>
    <w:p>
      <w:pPr>
        <w:spacing w:after="200"/>
      </w:pPr>
    </w:p>
    <w:p>
      <w:pPr>
        <w:pBdr>
          <w:bottom w:val="single" w:color="2E75B6" w:sz="4" w:space="1"/>
        </w:pBdr>
        <w:spacing w:after="200"/>
      </w:pP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Doutorado em Geofísica · Bacia Sergipe-Alagoas · Notebook 12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Rodrigo · Doutorado em Geofísica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2E75B6"/>
        <w:sz w:val="18"/>
        <w:szCs w:val="18"/>
      </w:rPr>
      <w:t xml:space="preserve">Análise de Sensibilidade — HistGradientBoosting</w:t>
    </w:r>
    <w:r>
      <w:rPr>
        <w:rFonts w:ascii="Arial" w:cs="Arial" w:eastAsia="Arial" w:hAnsi="Arial"/>
        <w:color w:val="888888"/>
        <w:sz w:val="18"/>
        <w:szCs w:val="18"/>
      </w:rPr>
      <w:t xml:space="preserve">  |  Bacia Sergipe-Alagoas · Predição de DT · LOWO 32 Poços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2026-03-03T18:44:10.782Z</dcterms:created>
  <dcterms:modified xsi:type="dcterms:W3CDTF">2026-03-03T18:44:10.783Z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