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95" w:rsidRDefault="000851B6" w:rsidP="00D652B1">
      <w:pPr>
        <w:pStyle w:val="Title"/>
      </w:pPr>
      <w:r>
        <w:t>DALES split-flux instructions</w:t>
      </w:r>
    </w:p>
    <w:p w:rsidR="002A4B47" w:rsidRDefault="000851B6" w:rsidP="000851B6">
      <w:pPr>
        <w:rPr>
          <w:rFonts w:eastAsiaTheme="minorEastAsia"/>
        </w:rPr>
      </w:pPr>
      <w:r>
        <w:t>The DALES split-flux functionality allows for a prescribed surface flux</w:t>
      </w:r>
      <w:r w:rsidR="002A4B47">
        <w:t xml:space="preserve"> to be split between several scalars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prescribed</m:t>
            </m:r>
          </m:sub>
        </m:sSub>
      </m:oMath>
      <w:r w:rsidR="00A86605">
        <w:rPr>
          <w:rFonts w:eastAsiaTheme="minorEastAsia"/>
        </w:rPr>
        <w:t xml:space="preserve">. </w:t>
      </w:r>
      <w:r w:rsidR="002A4B47">
        <w:rPr>
          <w:rFonts w:eastAsiaTheme="minorEastAsia"/>
        </w:rPr>
        <w:t xml:space="preserve">Here, </w:t>
      </w:r>
      <w:proofErr w:type="spellStart"/>
      <w:r w:rsidR="002A4B47">
        <w:rPr>
          <w:rFonts w:eastAsiaTheme="minorEastAsia"/>
        </w:rPr>
        <w:t>F</w:t>
      </w:r>
      <w:r w:rsidR="002A4B47">
        <w:rPr>
          <w:rFonts w:eastAsiaTheme="minorEastAsia"/>
          <w:vertAlign w:val="subscript"/>
        </w:rPr>
        <w:t>n</w:t>
      </w:r>
      <w:proofErr w:type="spellEnd"/>
      <w:r w:rsidR="002A4B47">
        <w:rPr>
          <w:rFonts w:eastAsiaTheme="minorEastAsia"/>
        </w:rPr>
        <w:t xml:space="preserve"> is the surface flux for scalar n, C</w:t>
      </w:r>
      <w:r w:rsidR="002A4B47">
        <w:rPr>
          <w:rFonts w:eastAsiaTheme="minorEastAsia"/>
          <w:vertAlign w:val="subscript"/>
        </w:rPr>
        <w:t>n</w:t>
      </w:r>
      <w:r w:rsidR="002A4B47">
        <w:rPr>
          <w:rFonts w:eastAsiaTheme="minorEastAsia"/>
        </w:rPr>
        <w:t xml:space="preserve"> is the concentration for scalar n, </w:t>
      </w:r>
      <w:proofErr w:type="spellStart"/>
      <w:r w:rsidR="002A4B47">
        <w:rPr>
          <w:rFonts w:eastAsiaTheme="minorEastAsia"/>
        </w:rPr>
        <w:t>C</w:t>
      </w:r>
      <w:r w:rsidR="002A4B47">
        <w:rPr>
          <w:rFonts w:eastAsiaTheme="minorEastAsia"/>
          <w:vertAlign w:val="subscript"/>
        </w:rPr>
        <w:t>tot</w:t>
      </w:r>
      <w:proofErr w:type="spellEnd"/>
      <w:r w:rsidR="002A4B47">
        <w:rPr>
          <w:rFonts w:eastAsiaTheme="minorEastAsia"/>
        </w:rPr>
        <w:t xml:space="preserve"> is the total concentration of the to-be-combined scalars (discussed later) and </w:t>
      </w:r>
      <w:proofErr w:type="spellStart"/>
      <w:r w:rsidR="002A4B47">
        <w:rPr>
          <w:rFonts w:eastAsiaTheme="minorEastAsia"/>
        </w:rPr>
        <w:t>F</w:t>
      </w:r>
      <w:r w:rsidR="002A4B47">
        <w:rPr>
          <w:rFonts w:eastAsiaTheme="minorEastAsia"/>
          <w:vertAlign w:val="subscript"/>
        </w:rPr>
        <w:t>prescribed</w:t>
      </w:r>
      <w:proofErr w:type="spellEnd"/>
      <w:r w:rsidR="002A4B47">
        <w:rPr>
          <w:rFonts w:eastAsiaTheme="minorEastAsia"/>
        </w:rPr>
        <w:t xml:space="preserve"> is the prescribed total surface flux. </w:t>
      </w:r>
    </w:p>
    <w:p w:rsidR="002A4B47" w:rsidRDefault="002A4B47" w:rsidP="000851B6">
      <w:pPr>
        <w:rPr>
          <w:rFonts w:eastAsiaTheme="minorEastAsia"/>
        </w:rPr>
      </w:pPr>
      <w:r>
        <w:rPr>
          <w:rFonts w:eastAsiaTheme="minorEastAsia"/>
        </w:rPr>
        <w:t>This functionality is designed to study ammonia (NH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), in a setup where one can distinguishes between the background concentration and concentration from emission source(s). Here, each emission source, including a background concentration, is described by a separate scalar, e.g. three scalars named 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0 for the background, 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1 for the first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source and 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2 for the second NH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emission source. The sum of these three scalars is considered the total amount of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in the atmosphere: C</w:t>
      </w:r>
      <w:r>
        <w:rPr>
          <w:rFonts w:eastAsiaTheme="minorEastAsia"/>
          <w:vertAlign w:val="subscript"/>
        </w:rPr>
        <w:t>NH3</w:t>
      </w:r>
      <w:r>
        <w:rPr>
          <w:rFonts w:eastAsiaTheme="minorEastAsia"/>
        </w:rPr>
        <w:t xml:space="preserve"> = C</w:t>
      </w:r>
      <w:r>
        <w:rPr>
          <w:rFonts w:eastAsiaTheme="minorEastAsia"/>
          <w:vertAlign w:val="subscript"/>
        </w:rPr>
        <w:t xml:space="preserve">nh3_A0 </w:t>
      </w:r>
      <w:r>
        <w:rPr>
          <w:rFonts w:eastAsiaTheme="minorEastAsia"/>
        </w:rPr>
        <w:t>+</w:t>
      </w:r>
      <w:r w:rsidRPr="002A4B47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nh3_A1 </w:t>
      </w:r>
      <w:r>
        <w:rPr>
          <w:rFonts w:eastAsiaTheme="minorEastAsia"/>
        </w:rPr>
        <w:t>+</w:t>
      </w:r>
      <w:r w:rsidRPr="002A4B47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nh3_A2</w:t>
      </w:r>
      <w:r>
        <w:rPr>
          <w:rFonts w:eastAsiaTheme="minorEastAsia"/>
        </w:rPr>
        <w:t>. When one wishes to prescribe a constant surface flux for ammonia, it requires the flux to be divided between the three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scalars (nh3_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0, 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1 and nh3_</w:t>
      </w:r>
      <w:r w:rsidR="005F0B39">
        <w:rPr>
          <w:rFonts w:eastAsiaTheme="minorEastAsia"/>
        </w:rPr>
        <w:t>a</w:t>
      </w:r>
      <w:r>
        <w:rPr>
          <w:rFonts w:eastAsiaTheme="minorEastAsia"/>
        </w:rPr>
        <w:t>2). Hence, the split-flux functionality.</w:t>
      </w:r>
    </w:p>
    <w:p w:rsidR="00D652B1" w:rsidRDefault="00D652B1" w:rsidP="00D652B1">
      <w:pPr>
        <w:pStyle w:val="Heading1"/>
        <w:rPr>
          <w:rFonts w:eastAsiaTheme="minorEastAsia"/>
        </w:rPr>
      </w:pPr>
      <w:r>
        <w:rPr>
          <w:rFonts w:eastAsiaTheme="minorEastAsia"/>
        </w:rPr>
        <w:t>Methodology</w:t>
      </w:r>
    </w:p>
    <w:p w:rsidR="00A86605" w:rsidRDefault="00BA3A62" w:rsidP="002A4B47">
      <w:r>
        <w:t xml:space="preserve">The to-be combined scalars are defined in a matrix with default values of -1: </w:t>
      </w:r>
      <w:proofErr w:type="spellStart"/>
      <w:r>
        <w:t>sf_scalars</w:t>
      </w:r>
      <w:proofErr w:type="spellEnd"/>
      <w:r>
        <w:t>. An example is shown below</w:t>
      </w:r>
      <w:r w:rsidR="00091764">
        <w:t xml:space="preserve">. This matrix is filled with scalar indices, in the order in which they are defined in </w:t>
      </w:r>
      <w:proofErr w:type="spellStart"/>
      <w:r w:rsidR="00091764">
        <w:t>scalar.inp</w:t>
      </w:r>
      <w:proofErr w:type="spellEnd"/>
      <w:r w:rsidR="00091764">
        <w:t xml:space="preserve">. </w:t>
      </w:r>
    </w:p>
    <w:p w:rsidR="002A4B47" w:rsidRPr="00091764" w:rsidRDefault="00091764" w:rsidP="002A4B47">
      <w:r>
        <w:t xml:space="preserve">Each row in the matrix describes the scalar numbers which form a set and over which the surface flux will be divided. The prescribed flux of the scalar in the first column, the base scalar, is the </w:t>
      </w:r>
      <w:proofErr w:type="spellStart"/>
      <w:r>
        <w:t>F</w:t>
      </w:r>
      <w:r>
        <w:rPr>
          <w:vertAlign w:val="subscript"/>
        </w:rPr>
        <w:t>prescribed</w:t>
      </w:r>
      <w:proofErr w:type="spellEnd"/>
      <w:r>
        <w:t xml:space="preserve"> of the earlier equation. The prescribed fluxes of the additional scalars in the set </w:t>
      </w:r>
      <w:r w:rsidR="005E3A47">
        <w:t>should be equal to the flux of the base scalar. If they are not equal, they will not be used for the split-flux functionality. This is the case for heterogeneous surface patches, like an emission source</w:t>
      </w:r>
      <w:r>
        <w:t>. All values of -1 will be ignored as well.</w:t>
      </w:r>
      <w:r w:rsidR="00A86605">
        <w:t xml:space="preserve"> The </w:t>
      </w:r>
      <w:proofErr w:type="spellStart"/>
      <w:r w:rsidR="00A86605">
        <w:t>sf_scalar</w:t>
      </w:r>
      <w:proofErr w:type="spellEnd"/>
      <w:r w:rsidR="00A86605">
        <w:t xml:space="preserve"> matrix is filled the same as the </w:t>
      </w:r>
      <w:proofErr w:type="spellStart"/>
      <w:r w:rsidR="00A86605">
        <w:t>land_use</w:t>
      </w:r>
      <w:proofErr w:type="spellEnd"/>
      <w:r w:rsidR="00A86605">
        <w:t xml:space="preserve"> input.</w:t>
      </w:r>
    </w:p>
    <w:tbl>
      <w:tblPr>
        <w:tblStyle w:val="PlainTable3"/>
        <w:tblW w:w="9072" w:type="dxa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BA3A62" w:rsidTr="00BA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  <w:tcBorders>
              <w:right w:val="single" w:sz="4" w:space="0" w:color="auto"/>
            </w:tcBorders>
          </w:tcPr>
          <w:p w:rsidR="00BA3A62" w:rsidRDefault="00A86605" w:rsidP="002A4B47">
            <w:r>
              <w:t>sf_scalars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BA3A62" w:rsidRDefault="00BA3A62" w:rsidP="00BA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scalar index</w:t>
            </w:r>
          </w:p>
        </w:tc>
        <w:tc>
          <w:tcPr>
            <w:tcW w:w="544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3A62" w:rsidRDefault="00BA3A62" w:rsidP="00BA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  <w:r w:rsidR="00091764">
              <w:t>al</w:t>
            </w:r>
            <w:r>
              <w:t xml:space="preserve"> scalar index/indices</w:t>
            </w:r>
          </w:p>
        </w:tc>
      </w:tr>
      <w:tr w:rsidR="00BA3A62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tcBorders>
              <w:right w:val="single" w:sz="4" w:space="0" w:color="auto"/>
            </w:tcBorders>
            <w:vAlign w:val="center"/>
          </w:tcPr>
          <w:p w:rsidR="00BA3A62" w:rsidRDefault="00BA3A62" w:rsidP="00BA3A62">
            <w:pPr>
              <w:jc w:val="center"/>
            </w:pPr>
            <w:r>
              <w:t>scalar sets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1</w:t>
            </w:r>
          </w:p>
        </w:tc>
        <w:tc>
          <w:tcPr>
            <w:tcW w:w="18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BA3A62" w:rsidTr="00BA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tcBorders>
              <w:right w:val="single" w:sz="4" w:space="0" w:color="auto"/>
            </w:tcBorders>
          </w:tcPr>
          <w:p w:rsidR="00BA3A62" w:rsidRDefault="00BA3A62" w:rsidP="002A4B47"/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4</w:t>
            </w:r>
          </w:p>
        </w:tc>
        <w:tc>
          <w:tcPr>
            <w:tcW w:w="18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BA3A62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tcBorders>
              <w:right w:val="single" w:sz="4" w:space="0" w:color="auto"/>
            </w:tcBorders>
          </w:tcPr>
          <w:p w:rsidR="00BA3A62" w:rsidRDefault="00BA3A62" w:rsidP="002A4B47"/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7</w:t>
            </w:r>
          </w:p>
        </w:tc>
        <w:tc>
          <w:tcPr>
            <w:tcW w:w="18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BA3A62" w:rsidTr="00BA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tcBorders>
              <w:right w:val="single" w:sz="4" w:space="0" w:color="auto"/>
            </w:tcBorders>
          </w:tcPr>
          <w:p w:rsidR="00BA3A62" w:rsidRDefault="00BA3A62" w:rsidP="002A4B47"/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9</w:t>
            </w:r>
          </w:p>
        </w:tc>
        <w:tc>
          <w:tcPr>
            <w:tcW w:w="18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Pr="00BA3A62" w:rsidRDefault="00BA3A62" w:rsidP="00BA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A62">
              <w:rPr>
                <w:b/>
                <w:bCs/>
              </w:rPr>
              <w:t>10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BA3A62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tcBorders>
              <w:right w:val="single" w:sz="4" w:space="0" w:color="auto"/>
            </w:tcBorders>
          </w:tcPr>
          <w:p w:rsidR="00BA3A62" w:rsidRDefault="00BA3A62" w:rsidP="002A4B47"/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3A62" w:rsidRDefault="00BA3A62" w:rsidP="002A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</w:tbl>
    <w:p w:rsidR="00091764" w:rsidRDefault="00091764" w:rsidP="002A4B47">
      <w:proofErr w:type="spellStart"/>
      <w:r>
        <w:t>Exmple</w:t>
      </w:r>
      <w:proofErr w:type="spellEnd"/>
      <w:r>
        <w:t xml:space="preserve"> for row 1:</w:t>
      </w:r>
    </w:p>
    <w:p w:rsidR="00091764" w:rsidRPr="002A4B47" w:rsidRDefault="00661758" w:rsidP="000917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 original</m:t>
              </m:r>
            </m:sub>
          </m:sSub>
        </m:oMath>
      </m:oMathPara>
    </w:p>
    <w:p w:rsidR="00091764" w:rsidRPr="002A4B47" w:rsidRDefault="00661758" w:rsidP="000917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2,new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 original</m:t>
              </m:r>
            </m:sub>
          </m:sSub>
        </m:oMath>
      </m:oMathPara>
    </w:p>
    <w:p w:rsidR="00091764" w:rsidRPr="002A4B47" w:rsidRDefault="00661758" w:rsidP="000917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3,new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 original</m:t>
              </m:r>
            </m:sub>
          </m:sSub>
        </m:oMath>
      </m:oMathPara>
    </w:p>
    <w:p w:rsidR="00A86605" w:rsidRDefault="00A86605" w:rsidP="00A86605">
      <w:proofErr w:type="spellStart"/>
      <w:r>
        <w:t>Exmple</w:t>
      </w:r>
      <w:proofErr w:type="spellEnd"/>
      <w:r>
        <w:t xml:space="preserve"> for row 3:</w:t>
      </w:r>
    </w:p>
    <w:p w:rsidR="00A86605" w:rsidRPr="002A4B47" w:rsidRDefault="00661758" w:rsidP="00A866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7, 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7, original</m:t>
              </m:r>
            </m:sub>
          </m:sSub>
        </m:oMath>
      </m:oMathPara>
    </w:p>
    <w:p w:rsidR="00091764" w:rsidRPr="00A86605" w:rsidRDefault="00661758" w:rsidP="002A4B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8,new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7, original</m:t>
              </m:r>
            </m:sub>
          </m:sSub>
        </m:oMath>
      </m:oMathPara>
    </w:p>
    <w:p w:rsidR="00D652B1" w:rsidRDefault="00A86605" w:rsidP="00D652B1">
      <w:r>
        <w:rPr>
          <w:rFonts w:eastAsiaTheme="minorEastAsia"/>
        </w:rPr>
        <w:t xml:space="preserve">The size of </w:t>
      </w:r>
      <w:proofErr w:type="spellStart"/>
      <w:r>
        <w:rPr>
          <w:rFonts w:eastAsiaTheme="minorEastAsia"/>
        </w:rPr>
        <w:t>sf_scalars</w:t>
      </w:r>
      <w:proofErr w:type="spellEnd"/>
      <w:r>
        <w:rPr>
          <w:rFonts w:eastAsiaTheme="minorEastAsia"/>
        </w:rPr>
        <w:t xml:space="preserve"> can be changed in modsurfdata.f90 by changing sf_dim1 &amp; sf_dim2.</w:t>
      </w:r>
    </w:p>
    <w:p w:rsidR="00D652B1" w:rsidRDefault="00D652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E3A47" w:rsidRDefault="005E3A47" w:rsidP="00D652B1">
      <w:pPr>
        <w:pStyle w:val="Heading1"/>
      </w:pPr>
      <w:r>
        <w:lastRenderedPageBreak/>
        <w:t>Inputs:</w:t>
      </w:r>
    </w:p>
    <w:p w:rsidR="009458C1" w:rsidRPr="009458C1" w:rsidRDefault="009458C1" w:rsidP="009458C1">
      <w:r>
        <w:t xml:space="preserve">IMPORTANT: Make sure to check if sf_dim1 &amp; sf_dim2 in modsurfdata.f90 are still sufficiently large! These variables determine the size of </w:t>
      </w:r>
      <w:proofErr w:type="spellStart"/>
      <w:r>
        <w:t>sf_scalars</w:t>
      </w:r>
      <w:proofErr w:type="spellEnd"/>
      <w:r>
        <w:t>.</w:t>
      </w:r>
      <w:r w:rsidR="00661758">
        <w:t xml:space="preserve"> If it is changed, build a new dales4 executable!</w:t>
      </w:r>
    </w:p>
    <w:p w:rsidR="005E3A47" w:rsidRDefault="005E3A47" w:rsidP="005E3A47">
      <w:pPr>
        <w:rPr>
          <w:b/>
          <w:bCs/>
        </w:rPr>
      </w:pPr>
      <w:proofErr w:type="spellStart"/>
      <w:r>
        <w:rPr>
          <w:b/>
          <w:bCs/>
        </w:rPr>
        <w:t>Namoptions</w:t>
      </w:r>
      <w:proofErr w:type="spellEnd"/>
      <w:r>
        <w:rPr>
          <w:b/>
          <w:bCs/>
        </w:rPr>
        <w:t>:</w:t>
      </w:r>
    </w:p>
    <w:p w:rsidR="005E3A47" w:rsidRDefault="005E3A47" w:rsidP="005E3A47">
      <w:pPr>
        <w:pStyle w:val="ListParagraph"/>
        <w:numPr>
          <w:ilvl w:val="0"/>
          <w:numId w:val="2"/>
        </w:numPr>
      </w:pPr>
      <w:proofErr w:type="spellStart"/>
      <w:r>
        <w:t>lsplitflux</w:t>
      </w:r>
      <w:proofErr w:type="spellEnd"/>
      <w:r>
        <w:t>:</w:t>
      </w:r>
      <w:r>
        <w:br/>
        <w:t>.true. if you want to use the functionality</w:t>
      </w:r>
      <w:bookmarkStart w:id="0" w:name="_GoBack"/>
      <w:bookmarkEnd w:id="0"/>
    </w:p>
    <w:p w:rsidR="005F0B39" w:rsidRDefault="005E3A47" w:rsidP="005E3A47">
      <w:pPr>
        <w:pStyle w:val="ListParagraph"/>
        <w:numPr>
          <w:ilvl w:val="0"/>
          <w:numId w:val="2"/>
        </w:numPr>
      </w:pPr>
      <w:proofErr w:type="spellStart"/>
      <w:r>
        <w:t>sf_scalars</w:t>
      </w:r>
      <w:proofErr w:type="spellEnd"/>
      <w:r>
        <w:t>:</w:t>
      </w:r>
      <w:r>
        <w:br/>
        <w:t xml:space="preserve">Matrix with the scalar indices for the </w:t>
      </w:r>
      <w:r w:rsidR="0084697D">
        <w:t>sets of scalars.</w:t>
      </w:r>
    </w:p>
    <w:p w:rsidR="005E3A47" w:rsidRDefault="0084697D" w:rsidP="005F0B39">
      <w:pPr>
        <w:pStyle w:val="ListParagraph"/>
        <w:numPr>
          <w:ilvl w:val="1"/>
          <w:numId w:val="2"/>
        </w:numPr>
      </w:pPr>
      <w:r>
        <w:t>In the horizontal (second dimension)</w:t>
      </w:r>
      <w:r w:rsidR="005F0B39">
        <w:t xml:space="preserve"> are the indices of the scalars that form a set. E.g. one ammonia background concentration scalar (nh3_a0) and one ammonia emission scalar (nh3_a1) together form the total ammonia concentration (nh3 = nh3_0 + nh3_1)</w:t>
      </w:r>
    </w:p>
    <w:p w:rsidR="005F0B39" w:rsidRDefault="005F0B39" w:rsidP="005F0B39">
      <w:pPr>
        <w:pStyle w:val="ListParagraph"/>
        <w:numPr>
          <w:ilvl w:val="1"/>
          <w:numId w:val="2"/>
        </w:numPr>
      </w:pPr>
      <w:r>
        <w:t>In the vertical (first dimension) are the number of scalar sets.</w:t>
      </w:r>
    </w:p>
    <w:p w:rsidR="005F0B39" w:rsidRDefault="005F0B39" w:rsidP="005F0B39">
      <w:pPr>
        <w:pStyle w:val="ListParagraph"/>
        <w:numPr>
          <w:ilvl w:val="0"/>
          <w:numId w:val="2"/>
        </w:numPr>
      </w:pPr>
      <w:r>
        <w:t>Example with 4 scalar sets and the first scalar (#1) is independent.:</w:t>
      </w:r>
      <w:r>
        <w:br/>
      </w:r>
      <w:r w:rsidR="00CD075B" w:rsidRPr="00CD075B">
        <w:t xml:space="preserve">&amp;NAMSURFACE </w:t>
      </w:r>
      <w:r w:rsidR="00CD075B">
        <w:br/>
      </w:r>
      <w:proofErr w:type="spellStart"/>
      <w:r w:rsidR="00CD075B">
        <w:t>lhetero</w:t>
      </w:r>
      <w:proofErr w:type="spellEnd"/>
      <w:r w:rsidR="00CD075B">
        <w:t xml:space="preserve"> = .true.</w:t>
      </w:r>
      <w:r w:rsidR="0030380D">
        <w:tab/>
      </w:r>
      <w:r w:rsidR="00CD075B">
        <w:br/>
      </w:r>
      <w:proofErr w:type="spellStart"/>
      <w:r>
        <w:t>lsplitflux</w:t>
      </w:r>
      <w:proofErr w:type="spellEnd"/>
      <w:r>
        <w:t xml:space="preserve"> = .true.</w:t>
      </w:r>
      <w:r>
        <w:br/>
      </w:r>
      <w:proofErr w:type="spellStart"/>
      <w:r>
        <w:t>sf_scalars</w:t>
      </w:r>
      <w:proofErr w:type="spellEnd"/>
      <w:r>
        <w:t xml:space="preserve">(1,1) = 2 </w:t>
      </w:r>
      <w:r>
        <w:tab/>
        <w:t>(scalar index #2 -&gt; scalar name nh3_a0)</w:t>
      </w:r>
      <w:r>
        <w:br/>
      </w:r>
      <w:proofErr w:type="spellStart"/>
      <w:r>
        <w:t>sf_scalars</w:t>
      </w:r>
      <w:proofErr w:type="spellEnd"/>
      <w:r>
        <w:t xml:space="preserve">(1,2) = 3 </w:t>
      </w:r>
      <w:r>
        <w:tab/>
        <w:t>(scalar index #3 -&gt; scalar name nh3_a1)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(2,1) = 4 </w:t>
      </w:r>
      <w:r>
        <w:tab/>
        <w:t>(scalar index #4 -&gt; scalar name nh3_b0)</w:t>
      </w:r>
      <w:r>
        <w:br/>
      </w:r>
      <w:proofErr w:type="spellStart"/>
      <w:r>
        <w:t>sf_scalars</w:t>
      </w:r>
      <w:proofErr w:type="spellEnd"/>
      <w:r>
        <w:t xml:space="preserve"> (2,2) = 5 </w:t>
      </w:r>
      <w:r>
        <w:tab/>
        <w:t>(scalar index #5 -&gt; scalar name nh3_b1)</w:t>
      </w:r>
      <w:r>
        <w:br/>
      </w:r>
      <w:proofErr w:type="spellStart"/>
      <w:r>
        <w:t>sf_scalars</w:t>
      </w:r>
      <w:proofErr w:type="spellEnd"/>
      <w:r>
        <w:t xml:space="preserve"> (3,1) = 6 </w:t>
      </w:r>
      <w:r>
        <w:tab/>
        <w:t>(scalar index #6 -&gt; scalar name nh3_c0)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(3,2) = 7 </w:t>
      </w:r>
      <w:r>
        <w:tab/>
        <w:t>(scalar index #7 -&gt; scalar name nh3_c1)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(3,3) = 8 </w:t>
      </w:r>
      <w:r>
        <w:tab/>
        <w:t>(scalar index #8 -&gt; scalar name nh3_c2)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(4,1) = 9 </w:t>
      </w:r>
      <w:r>
        <w:tab/>
        <w:t>(scalar index #9 -&gt; scalar name nh3_d0)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(4,2) = 10 </w:t>
      </w:r>
      <w:r>
        <w:tab/>
        <w:t>(scalar index #10 -&gt; scalar name nh3_d1)</w:t>
      </w:r>
      <w:r w:rsidRPr="005F0B39">
        <w:t xml:space="preserve"> </w:t>
      </w:r>
      <w:r>
        <w:br/>
      </w:r>
      <w:proofErr w:type="spellStart"/>
      <w:r>
        <w:t>sf_scalars</w:t>
      </w:r>
      <w:proofErr w:type="spellEnd"/>
      <w:r>
        <w:t xml:space="preserve"> (4,3) = 11 </w:t>
      </w:r>
      <w:r>
        <w:tab/>
        <w:t>(scalar index #11 -&gt; scalar name nh3_d2)</w:t>
      </w:r>
    </w:p>
    <w:p w:rsidR="0030380D" w:rsidRPr="0030380D" w:rsidRDefault="0030380D" w:rsidP="005F0B39">
      <w:pPr>
        <w:pStyle w:val="ListParagraph"/>
        <w:numPr>
          <w:ilvl w:val="0"/>
          <w:numId w:val="2"/>
        </w:numPr>
      </w:pPr>
      <w:r>
        <w:rPr>
          <w:b/>
          <w:bCs/>
        </w:rPr>
        <w:t>Requirements:</w:t>
      </w:r>
    </w:p>
    <w:p w:rsidR="0030380D" w:rsidRDefault="0030380D" w:rsidP="0030380D">
      <w:pPr>
        <w:pStyle w:val="ListParagraph"/>
        <w:numPr>
          <w:ilvl w:val="1"/>
          <w:numId w:val="2"/>
        </w:numPr>
      </w:pPr>
      <w:proofErr w:type="spellStart"/>
      <w:r>
        <w:t>lhetero</w:t>
      </w:r>
      <w:proofErr w:type="spellEnd"/>
      <w:r>
        <w:t xml:space="preserve"> = .true.</w:t>
      </w:r>
    </w:p>
    <w:p w:rsidR="0030380D" w:rsidRDefault="0030380D" w:rsidP="0030380D">
      <w:pPr>
        <w:pStyle w:val="ListParagraph"/>
        <w:numPr>
          <w:ilvl w:val="1"/>
          <w:numId w:val="2"/>
        </w:numPr>
      </w:pPr>
      <w:proofErr w:type="spellStart"/>
      <w:r>
        <w:t>lsplitflux</w:t>
      </w:r>
      <w:proofErr w:type="spellEnd"/>
      <w:r>
        <w:t xml:space="preserve"> = .true.</w:t>
      </w:r>
    </w:p>
    <w:p w:rsidR="0030380D" w:rsidRDefault="0030380D" w:rsidP="0030380D">
      <w:pPr>
        <w:pStyle w:val="ListParagraph"/>
        <w:numPr>
          <w:ilvl w:val="1"/>
          <w:numId w:val="2"/>
        </w:numPr>
      </w:pPr>
      <w:proofErr w:type="spellStart"/>
      <w:r>
        <w:t>sf_scalars</w:t>
      </w:r>
      <w:proofErr w:type="spellEnd"/>
      <w:r>
        <w:t>: NO DUPLICATE scalar indices</w:t>
      </w:r>
    </w:p>
    <w:p w:rsidR="0030380D" w:rsidRPr="005E3A47" w:rsidRDefault="0030380D" w:rsidP="0030380D">
      <w:pPr>
        <w:pStyle w:val="ListParagraph"/>
        <w:numPr>
          <w:ilvl w:val="1"/>
          <w:numId w:val="2"/>
        </w:numPr>
      </w:pPr>
      <w:r>
        <w:t xml:space="preserve">Variables </w:t>
      </w:r>
      <w:proofErr w:type="spellStart"/>
      <w:r>
        <w:t>lsplitflux</w:t>
      </w:r>
      <w:proofErr w:type="spellEnd"/>
      <w:r>
        <w:t xml:space="preserve"> &amp; </w:t>
      </w:r>
      <w:proofErr w:type="spellStart"/>
      <w:r>
        <w:t>sf_scalars</w:t>
      </w:r>
      <w:proofErr w:type="spellEnd"/>
      <w:r>
        <w:t xml:space="preserve"> are defines in NAMOPTIONS under </w:t>
      </w:r>
      <w:r w:rsidRPr="00A86605">
        <w:t>&amp;NAMSURFACE</w:t>
      </w:r>
    </w:p>
    <w:p w:rsidR="005F0B39" w:rsidRPr="005F0B39" w:rsidRDefault="005F0B39" w:rsidP="005F0B39">
      <w:pPr>
        <w:rPr>
          <w:b/>
          <w:bCs/>
        </w:rPr>
      </w:pPr>
      <w:proofErr w:type="spellStart"/>
      <w:r w:rsidRPr="005F0B39">
        <w:rPr>
          <w:b/>
          <w:bCs/>
        </w:rPr>
        <w:t>surface.interactive.inp</w:t>
      </w:r>
      <w:proofErr w:type="spellEnd"/>
    </w:p>
    <w:p w:rsidR="005F0B39" w:rsidRDefault="0030380D" w:rsidP="0030380D">
      <w:pPr>
        <w:pStyle w:val="ListParagraph"/>
        <w:numPr>
          <w:ilvl w:val="0"/>
          <w:numId w:val="3"/>
        </w:numPr>
      </w:pPr>
      <w:proofErr w:type="spellStart"/>
      <w:r>
        <w:t>wsvsurf</w:t>
      </w:r>
      <w:proofErr w:type="spellEnd"/>
      <w:r>
        <w:t>(n):</w:t>
      </w:r>
    </w:p>
    <w:p w:rsidR="0030380D" w:rsidRDefault="0030380D" w:rsidP="0030380D">
      <w:pPr>
        <w:pStyle w:val="ListParagraph"/>
        <w:numPr>
          <w:ilvl w:val="1"/>
          <w:numId w:val="3"/>
        </w:numPr>
      </w:pPr>
      <w:r>
        <w:t xml:space="preserve">scalars with the same </w:t>
      </w:r>
      <w:proofErr w:type="spellStart"/>
      <w:r>
        <w:t>wsvsurf</w:t>
      </w:r>
      <w:proofErr w:type="spellEnd"/>
      <w:r>
        <w:t xml:space="preserve"> as the “base scalar” will be have the prescribed surface flux divided between their set of scalars: </w:t>
      </w:r>
      <w:r>
        <w:br/>
      </w:r>
      <w:proofErr w:type="spellStart"/>
      <w:r>
        <w:t>wsvsurf</w:t>
      </w:r>
      <w:proofErr w:type="spellEnd"/>
      <w:r>
        <w:t xml:space="preserve">( </w:t>
      </w:r>
      <w:r w:rsidRPr="0030380D">
        <w:rPr>
          <w:i/>
          <w:iCs/>
        </w:rPr>
        <w:t>base scalar index</w:t>
      </w:r>
      <w:r>
        <w:t xml:space="preserve"> ) = </w:t>
      </w:r>
      <w:proofErr w:type="spellStart"/>
      <w:r>
        <w:t>wsvsurf</w:t>
      </w:r>
      <w:proofErr w:type="spellEnd"/>
      <w:r>
        <w:t xml:space="preserve">( </w:t>
      </w:r>
      <w:r w:rsidRPr="0030380D">
        <w:rPr>
          <w:i/>
          <w:iCs/>
        </w:rPr>
        <w:t>additional scalar index</w:t>
      </w:r>
      <w:r>
        <w:t xml:space="preserve"> 1 ) = </w:t>
      </w:r>
      <w:r>
        <w:br/>
      </w:r>
      <w:proofErr w:type="spellStart"/>
      <w:r>
        <w:t>wsvsurf</w:t>
      </w:r>
      <w:proofErr w:type="spellEnd"/>
      <w:r>
        <w:t xml:space="preserve">( </w:t>
      </w:r>
      <w:r w:rsidRPr="0030380D">
        <w:rPr>
          <w:i/>
          <w:iCs/>
        </w:rPr>
        <w:t>additional scalar index</w:t>
      </w:r>
      <w:r>
        <w:t xml:space="preserve"> 2 ) = ... = </w:t>
      </w:r>
      <w:proofErr w:type="spellStart"/>
      <w:r>
        <w:t>wsvsurf</w:t>
      </w:r>
      <w:proofErr w:type="spellEnd"/>
      <w:r>
        <w:t xml:space="preserve">( </w:t>
      </w:r>
      <w:r w:rsidRPr="0030380D">
        <w:rPr>
          <w:i/>
          <w:iCs/>
        </w:rPr>
        <w:t>additional scalar index</w:t>
      </w:r>
      <w:r>
        <w:t xml:space="preserve"> M )</w:t>
      </w:r>
    </w:p>
    <w:p w:rsidR="0030380D" w:rsidRDefault="0030380D" w:rsidP="0030380D">
      <w:pPr>
        <w:pStyle w:val="ListParagraph"/>
        <w:numPr>
          <w:ilvl w:val="1"/>
          <w:numId w:val="3"/>
        </w:numPr>
      </w:pPr>
      <w:r>
        <w:t xml:space="preserve">Scalars with a different </w:t>
      </w:r>
      <w:proofErr w:type="spellStart"/>
      <w:r>
        <w:t>wsvsurf</w:t>
      </w:r>
      <w:proofErr w:type="spellEnd"/>
      <w:r>
        <w:t xml:space="preserve"> from the “base scalar” will not have the prescribed surface flux between their set of scalars. This is useful for having an emission source. </w:t>
      </w:r>
    </w:p>
    <w:p w:rsidR="00BA3A62" w:rsidRPr="00D652B1" w:rsidRDefault="0030380D" w:rsidP="00D652B1">
      <w:pPr>
        <w:pStyle w:val="ListParagraph"/>
        <w:numPr>
          <w:ilvl w:val="0"/>
          <w:numId w:val="3"/>
        </w:numPr>
      </w:pPr>
      <w:r>
        <w:t>Example with 3 scalars: 1 background scalar (no sources) and two emission scalars:</w:t>
      </w:r>
      <w:r>
        <w:br/>
      </w:r>
      <w:r w:rsidRPr="0030380D">
        <w:t>#</w:t>
      </w:r>
      <w:proofErr w:type="spellStart"/>
      <w:r w:rsidRPr="0030380D">
        <w:t>typenr</w:t>
      </w:r>
      <w:proofErr w:type="spellEnd"/>
      <w:r>
        <w:t xml:space="preserve"> </w:t>
      </w:r>
      <w:r>
        <w:tab/>
      </w:r>
      <w:r w:rsidRPr="0030380D">
        <w:t>name</w:t>
      </w:r>
      <w:r>
        <w:t xml:space="preserve"> </w:t>
      </w:r>
      <w:r>
        <w:tab/>
      </w:r>
      <w:r>
        <w:tab/>
        <w:t xml:space="preserve">... </w:t>
      </w:r>
      <w:r>
        <w:tab/>
      </w:r>
      <w:proofErr w:type="spellStart"/>
      <w:r>
        <w:t>svsurf</w:t>
      </w:r>
      <w:proofErr w:type="spellEnd"/>
      <w:r>
        <w:t xml:space="preserve">(01) </w:t>
      </w:r>
      <w:r>
        <w:tab/>
      </w:r>
      <w:proofErr w:type="spellStart"/>
      <w:r>
        <w:t>svsurf</w:t>
      </w:r>
      <w:proofErr w:type="spellEnd"/>
      <w:r>
        <w:t xml:space="preserve">(02) </w:t>
      </w:r>
      <w:r>
        <w:tab/>
      </w:r>
      <w:proofErr w:type="spellStart"/>
      <w:r>
        <w:t>svsurf</w:t>
      </w:r>
      <w:proofErr w:type="spellEnd"/>
      <w:r>
        <w:t>(03)</w:t>
      </w:r>
      <w:r>
        <w:br/>
        <w:t xml:space="preserve">0 </w:t>
      </w:r>
      <w:r>
        <w:tab/>
      </w:r>
      <w:r>
        <w:tab/>
        <w:t xml:space="preserve">“standard” </w:t>
      </w:r>
      <w:r>
        <w:tab/>
        <w:t xml:space="preserve">... </w:t>
      </w:r>
      <w:r>
        <w:tab/>
        <w:t xml:space="preserve">-0.1 </w:t>
      </w:r>
      <w:r>
        <w:tab/>
      </w:r>
      <w:r>
        <w:tab/>
        <w:t xml:space="preserve">-0.1 </w:t>
      </w:r>
      <w:r>
        <w:tab/>
      </w:r>
      <w:r>
        <w:tab/>
        <w:t>-0.1</w:t>
      </w:r>
      <w:r>
        <w:br/>
        <w:t>1</w:t>
      </w:r>
      <w:r>
        <w:tab/>
      </w:r>
      <w:r>
        <w:tab/>
        <w:t xml:space="preserve">“emission1” </w:t>
      </w:r>
      <w:r>
        <w:tab/>
        <w:t xml:space="preserve">... </w:t>
      </w:r>
      <w:r>
        <w:tab/>
        <w:t xml:space="preserve">-0.1 </w:t>
      </w:r>
      <w:r>
        <w:tab/>
      </w:r>
      <w:r>
        <w:tab/>
        <w:t xml:space="preserve"> 1.0 </w:t>
      </w:r>
      <w:r>
        <w:tab/>
      </w:r>
      <w:r>
        <w:tab/>
        <w:t>-0.1</w:t>
      </w:r>
      <w:r>
        <w:br/>
        <w:t xml:space="preserve">2 </w:t>
      </w:r>
      <w:r>
        <w:tab/>
      </w:r>
      <w:r>
        <w:tab/>
        <w:t xml:space="preserve">“emission2” </w:t>
      </w:r>
      <w:r>
        <w:tab/>
        <w:t xml:space="preserve">... </w:t>
      </w:r>
      <w:r>
        <w:tab/>
        <w:t xml:space="preserve">-0.1 </w:t>
      </w:r>
      <w:r>
        <w:tab/>
      </w:r>
      <w:r>
        <w:tab/>
        <w:t xml:space="preserve">-0.1 </w:t>
      </w:r>
      <w:r>
        <w:tab/>
      </w:r>
      <w:r>
        <w:tab/>
        <w:t xml:space="preserve"> 1.5</w:t>
      </w:r>
      <w:r w:rsidR="00D652B1">
        <w:br/>
        <w:t xml:space="preserve">For </w:t>
      </w:r>
      <w:proofErr w:type="spellStart"/>
      <w:r w:rsidR="00D652B1">
        <w:t>land_use</w:t>
      </w:r>
      <w:proofErr w:type="spellEnd"/>
      <w:r w:rsidR="00D652B1">
        <w:t xml:space="preserve"> = 0:  deposition flux is split between scalars n=1, n=2 &amp; n=3</w:t>
      </w:r>
      <w:r w:rsidR="00D652B1">
        <w:br/>
        <w:t xml:space="preserve">For </w:t>
      </w:r>
      <w:proofErr w:type="spellStart"/>
      <w:r w:rsidR="00D652B1">
        <w:t>land_use</w:t>
      </w:r>
      <w:proofErr w:type="spellEnd"/>
      <w:r w:rsidR="00D652B1">
        <w:t xml:space="preserve"> = 1:  deposition flux is split between scalars n=1 &amp; n=3, scalar n=2 gives emission</w:t>
      </w:r>
      <w:r w:rsidR="00D652B1">
        <w:br/>
        <w:t xml:space="preserve">For </w:t>
      </w:r>
      <w:proofErr w:type="spellStart"/>
      <w:r w:rsidR="00D652B1">
        <w:t>land_use</w:t>
      </w:r>
      <w:proofErr w:type="spellEnd"/>
      <w:r w:rsidR="00D652B1">
        <w:t xml:space="preserve"> = 2:  deposition flux is split between scalars n=1 &amp; n=2, scalar n=3 gives emission</w:t>
      </w:r>
    </w:p>
    <w:sectPr w:rsidR="00BA3A62" w:rsidRPr="00D652B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CC5"/>
    <w:multiLevelType w:val="hybridMultilevel"/>
    <w:tmpl w:val="CEF67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2E0"/>
    <w:multiLevelType w:val="hybridMultilevel"/>
    <w:tmpl w:val="2B466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C1AD9"/>
    <w:multiLevelType w:val="hybridMultilevel"/>
    <w:tmpl w:val="526454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51B6"/>
    <w:rsid w:val="00091764"/>
    <w:rsid w:val="00144FF3"/>
    <w:rsid w:val="002A4B47"/>
    <w:rsid w:val="0030380D"/>
    <w:rsid w:val="005E3A47"/>
    <w:rsid w:val="005F0B39"/>
    <w:rsid w:val="00661758"/>
    <w:rsid w:val="00672712"/>
    <w:rsid w:val="0084697D"/>
    <w:rsid w:val="009458C1"/>
    <w:rsid w:val="00987295"/>
    <w:rsid w:val="00A44BDE"/>
    <w:rsid w:val="00A86605"/>
    <w:rsid w:val="00BA3A62"/>
    <w:rsid w:val="00CD075B"/>
    <w:rsid w:val="00D652B1"/>
    <w:rsid w:val="00D93F0D"/>
    <w:rsid w:val="00F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8C2C"/>
  <w15:chartTrackingRefBased/>
  <w15:docId w15:val="{3A3BA5BD-2910-4BE4-9AC4-3FB71B9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4B4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A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A3A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A3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5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AA48930D.dotm</Template>
  <TotalTime>245</TotalTime>
  <Pages>2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Ruben</dc:creator>
  <cp:keywords/>
  <dc:description/>
  <cp:lastModifiedBy>Schulte, Ruben</cp:lastModifiedBy>
  <cp:revision>5</cp:revision>
  <dcterms:created xsi:type="dcterms:W3CDTF">2021-01-26T16:10:00Z</dcterms:created>
  <dcterms:modified xsi:type="dcterms:W3CDTF">2021-02-04T13:18:00Z</dcterms:modified>
</cp:coreProperties>
</file>