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F636" w14:textId="2801D11B" w:rsidR="00047DB2" w:rsidRDefault="00DB32E3" w:rsidP="00DB32E3">
      <w:pPr>
        <w:pStyle w:val="Title"/>
      </w:pPr>
      <w:r>
        <w:t>Community of Practice</w:t>
      </w:r>
    </w:p>
    <w:p w14:paraId="68BFB01B" w14:textId="1CD3D799" w:rsidR="00DB32E3" w:rsidRDefault="00DB32E3" w:rsidP="00DB32E3"/>
    <w:p w14:paraId="0602CF9E" w14:textId="0348B306" w:rsidR="00DB32E3" w:rsidRDefault="00DB32E3" w:rsidP="00DB32E3">
      <w:pPr>
        <w:rPr>
          <w:sz w:val="28"/>
          <w:szCs w:val="28"/>
        </w:rPr>
      </w:pPr>
      <w:r w:rsidRPr="00DB32E3">
        <w:rPr>
          <w:sz w:val="28"/>
          <w:szCs w:val="28"/>
        </w:rPr>
        <w:t>A Community of Practice (CoP) straddles the line between virtual and face-to-face communities</w:t>
      </w:r>
      <w:r>
        <w:rPr>
          <w:sz w:val="28"/>
          <w:szCs w:val="28"/>
        </w:rPr>
        <w:t xml:space="preserve">. It needs to be partially </w:t>
      </w:r>
      <w:proofErr w:type="spellStart"/>
      <w:proofErr w:type="gramStart"/>
      <w:r>
        <w:rPr>
          <w:sz w:val="28"/>
          <w:szCs w:val="28"/>
        </w:rPr>
        <w:t>vitual</w:t>
      </w:r>
      <w:proofErr w:type="spellEnd"/>
      <w:r>
        <w:rPr>
          <w:sz w:val="28"/>
          <w:szCs w:val="28"/>
        </w:rPr>
        <w:t>, because</w:t>
      </w:r>
      <w:proofErr w:type="gramEnd"/>
      <w:r>
        <w:rPr>
          <w:sz w:val="28"/>
          <w:szCs w:val="28"/>
        </w:rPr>
        <w:t xml:space="preserve"> similar practitioners work in different locations. But it also needs to be partially face-to-face, because that is the best way to energize and bind organizations. So day-to-day activities of the CoP will largely be virtual, but the more there are face-to-face CoP activities like conferences, workshops, meetups, etc. the more vibrant the CoP will be. </w:t>
      </w:r>
    </w:p>
    <w:p w14:paraId="486DF265" w14:textId="52D320DC" w:rsidR="00DB32E3" w:rsidRDefault="00DB32E3" w:rsidP="00DB32E3">
      <w:pPr>
        <w:rPr>
          <w:sz w:val="28"/>
          <w:szCs w:val="28"/>
        </w:rPr>
      </w:pPr>
      <w:r>
        <w:rPr>
          <w:sz w:val="28"/>
          <w:szCs w:val="28"/>
        </w:rPr>
        <w:t>To bootstrap a CoP for CFA and its partners, the recommended process is:</w:t>
      </w:r>
    </w:p>
    <w:p w14:paraId="334665DD" w14:textId="6C572DCB" w:rsidR="00DB32E3" w:rsidRDefault="00DB32E3" w:rsidP="00DB32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a core geographical area where potential CoP members can physically meet.</w:t>
      </w:r>
    </w:p>
    <w:p w14:paraId="6784C1CD" w14:textId="0E81E674" w:rsidR="00DB32E3" w:rsidRDefault="00DB32E3" w:rsidP="00DB32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Schedule a launch meeting</w:t>
      </w:r>
    </w:p>
    <w:p w14:paraId="2872AFE8" w14:textId="0BEAE65E" w:rsidR="00DB32E3" w:rsidRDefault="00DB32E3" w:rsidP="00DB32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initial members to set up provisional governance and help devise the next round of outreach and meetings.</w:t>
      </w:r>
    </w:p>
    <w:p w14:paraId="298203E5" w14:textId="170895B8" w:rsidR="00DB32E3" w:rsidRDefault="00DB32E3" w:rsidP="00DB32E3">
      <w:pPr>
        <w:rPr>
          <w:sz w:val="28"/>
          <w:szCs w:val="28"/>
        </w:rPr>
      </w:pPr>
      <w:r>
        <w:rPr>
          <w:sz w:val="28"/>
          <w:szCs w:val="28"/>
        </w:rPr>
        <w:t>The long-term viability of the CoP will require it to provide tangible benefits to its members. By tangible we mean things the CoP members can use in their face-to-face communities with students, family, friends and colleagues. Such tangible benefits include:</w:t>
      </w:r>
    </w:p>
    <w:p w14:paraId="46D63884" w14:textId="5052EB8C" w:rsidR="00DB32E3" w:rsidRDefault="00DB32E3" w:rsidP="00DB32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Jobs and other funding opportunities</w:t>
      </w:r>
    </w:p>
    <w:p w14:paraId="6386A350" w14:textId="13FAE009" w:rsidR="00DB32E3" w:rsidRDefault="00DB32E3" w:rsidP="00DB32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 and upskilling opportunities</w:t>
      </w:r>
    </w:p>
    <w:p w14:paraId="1A718147" w14:textId="12A9AB4C" w:rsidR="00DB32E3" w:rsidRDefault="00DB32E3" w:rsidP="00DB32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Certification opportunities</w:t>
      </w:r>
    </w:p>
    <w:p w14:paraId="5855E9C6" w14:textId="66D94084" w:rsidR="00DB32E3" w:rsidRDefault="00DB32E3" w:rsidP="00DB32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Value-added social networking</w:t>
      </w:r>
    </w:p>
    <w:p w14:paraId="378CE431" w14:textId="72B12AE3" w:rsidR="00DB32E3" w:rsidRDefault="00DB32E3" w:rsidP="00DB32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Travel and conference opportunities</w:t>
      </w:r>
    </w:p>
    <w:p w14:paraId="7A85292C" w14:textId="33ED4E71" w:rsidR="00DB32E3" w:rsidRDefault="00DB32E3" w:rsidP="00DB32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Speaking and publicity opportunities</w:t>
      </w:r>
    </w:p>
    <w:p w14:paraId="31E70677" w14:textId="0D521CA6" w:rsidR="00DB32E3" w:rsidRPr="00DB32E3" w:rsidRDefault="00DB32E3" w:rsidP="00DB32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 to employers for faculty and students</w:t>
      </w:r>
    </w:p>
    <w:sectPr w:rsidR="00DB32E3" w:rsidRPr="00DB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60A4"/>
    <w:multiLevelType w:val="hybridMultilevel"/>
    <w:tmpl w:val="3894FF72"/>
    <w:lvl w:ilvl="0" w:tplc="A4387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8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E3"/>
    <w:rsid w:val="0019798F"/>
    <w:rsid w:val="006630FE"/>
    <w:rsid w:val="00D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02A9"/>
  <w15:chartTrackingRefBased/>
  <w15:docId w15:val="{34248EDB-461C-47C0-98A6-283F113E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Bunge, Robert</dc:creator>
  <cp:keywords/>
  <dc:description/>
  <cp:lastModifiedBy>Bunge, Robert</cp:lastModifiedBy>
  <cp:revision>1</cp:revision>
  <dcterms:created xsi:type="dcterms:W3CDTF">2023-05-14T22:05:00Z</dcterms:created>
  <dcterms:modified xsi:type="dcterms:W3CDTF">2023-05-14T22:14:00Z</dcterms:modified>
</cp:coreProperties>
</file>