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BB94" w14:textId="08229E5F" w:rsidR="00070DD3" w:rsidRPr="00E809AA" w:rsidRDefault="00571E7E" w:rsidP="00E809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09AA">
        <w:rPr>
          <w:rFonts w:ascii="Arial" w:hAnsi="Arial" w:cs="Arial"/>
          <w:b/>
          <w:bCs/>
          <w:sz w:val="24"/>
          <w:szCs w:val="24"/>
        </w:rPr>
        <w:t xml:space="preserve">Detailed protocol for detecting RR dimerization via </w:t>
      </w:r>
      <w:proofErr w:type="spellStart"/>
      <w:r w:rsidRPr="00E809AA">
        <w:rPr>
          <w:rFonts w:ascii="Arial" w:hAnsi="Arial" w:cs="Arial"/>
          <w:b/>
          <w:bCs/>
          <w:sz w:val="24"/>
          <w:szCs w:val="24"/>
        </w:rPr>
        <w:t>homoFRET</w:t>
      </w:r>
      <w:proofErr w:type="spellEnd"/>
      <w:r w:rsidRPr="00E809A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E809AA">
        <w:rPr>
          <w:rFonts w:ascii="Arial" w:hAnsi="Arial" w:cs="Arial"/>
          <w:b/>
          <w:bCs/>
          <w:sz w:val="24"/>
          <w:szCs w:val="24"/>
        </w:rPr>
        <w:t>NarX</w:t>
      </w:r>
      <w:proofErr w:type="spellEnd"/>
      <w:r w:rsidRPr="00E809AA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E809AA">
        <w:rPr>
          <w:rFonts w:ascii="Arial" w:hAnsi="Arial" w:cs="Arial"/>
          <w:b/>
          <w:bCs/>
          <w:sz w:val="24"/>
          <w:szCs w:val="24"/>
        </w:rPr>
        <w:t>mNG-NarL</w:t>
      </w:r>
      <w:proofErr w:type="spellEnd"/>
      <w:r w:rsidRPr="00E809AA">
        <w:rPr>
          <w:rFonts w:ascii="Arial" w:hAnsi="Arial" w:cs="Arial"/>
          <w:b/>
          <w:bCs/>
          <w:sz w:val="24"/>
          <w:szCs w:val="24"/>
        </w:rPr>
        <w:t>)</w:t>
      </w:r>
    </w:p>
    <w:p w14:paraId="684027C7" w14:textId="62DDAE23" w:rsidR="00571E7E" w:rsidRPr="00E809AA" w:rsidRDefault="00571E7E" w:rsidP="00E809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84AF38" w14:textId="1B0A37F5" w:rsidR="00B141DF" w:rsidRDefault="00571E7E" w:rsidP="00E809AA">
      <w:p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This protocol details the process for measuring RR dimerization in living </w:t>
      </w:r>
      <w:r w:rsidRPr="00E809AA">
        <w:rPr>
          <w:rFonts w:ascii="Arial" w:hAnsi="Arial" w:cs="Arial"/>
          <w:i/>
          <w:iCs/>
          <w:sz w:val="24"/>
          <w:szCs w:val="24"/>
        </w:rPr>
        <w:t xml:space="preserve">E. coli </w:t>
      </w:r>
      <w:r w:rsidRPr="00E809AA">
        <w:rPr>
          <w:rFonts w:ascii="Arial" w:hAnsi="Arial" w:cs="Arial"/>
          <w:sz w:val="24"/>
          <w:szCs w:val="24"/>
        </w:rPr>
        <w:t xml:space="preserve">cultures </w:t>
      </w:r>
      <w:r w:rsidR="00D057EC" w:rsidRPr="00E809AA">
        <w:rPr>
          <w:rFonts w:ascii="Arial" w:hAnsi="Arial" w:cs="Arial"/>
          <w:sz w:val="24"/>
          <w:szCs w:val="24"/>
        </w:rPr>
        <w:t xml:space="preserve">via </w:t>
      </w:r>
      <w:proofErr w:type="spellStart"/>
      <w:r w:rsidR="00D057EC" w:rsidRPr="00E809AA">
        <w:rPr>
          <w:rFonts w:ascii="Arial" w:hAnsi="Arial" w:cs="Arial"/>
          <w:sz w:val="24"/>
          <w:szCs w:val="24"/>
        </w:rPr>
        <w:t>homoFRET</w:t>
      </w:r>
      <w:proofErr w:type="spellEnd"/>
      <w:r w:rsidR="00D057EC" w:rsidRPr="00E809AA">
        <w:rPr>
          <w:rFonts w:ascii="Arial" w:hAnsi="Arial" w:cs="Arial"/>
          <w:sz w:val="24"/>
          <w:szCs w:val="24"/>
        </w:rPr>
        <w:t xml:space="preserve">. </w:t>
      </w:r>
      <w:r w:rsidR="00B141DF" w:rsidRPr="00E809AA">
        <w:rPr>
          <w:rFonts w:ascii="Arial" w:hAnsi="Arial" w:cs="Arial"/>
          <w:sz w:val="24"/>
          <w:szCs w:val="24"/>
        </w:rPr>
        <w:t>As an example, w</w:t>
      </w:r>
      <w:r w:rsidR="00D057EC" w:rsidRPr="00E809AA">
        <w:rPr>
          <w:rFonts w:ascii="Arial" w:hAnsi="Arial" w:cs="Arial"/>
          <w:sz w:val="24"/>
          <w:szCs w:val="24"/>
        </w:rPr>
        <w:t xml:space="preserve">e describe </w:t>
      </w:r>
      <w:r w:rsidR="00B141DF" w:rsidRPr="00E809AA">
        <w:rPr>
          <w:rFonts w:ascii="Arial" w:hAnsi="Arial" w:cs="Arial"/>
          <w:sz w:val="24"/>
          <w:szCs w:val="24"/>
        </w:rPr>
        <w:t xml:space="preserve">and experiment to study the effect of SHK expression level on RR dimerization in </w:t>
      </w:r>
      <w:r w:rsidR="00D057EC" w:rsidRPr="00E809A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D057EC" w:rsidRPr="00E809AA">
        <w:rPr>
          <w:rFonts w:ascii="Arial" w:hAnsi="Arial" w:cs="Arial"/>
          <w:sz w:val="24"/>
          <w:szCs w:val="24"/>
        </w:rPr>
        <w:t>NarX</w:t>
      </w:r>
      <w:proofErr w:type="spellEnd"/>
      <w:r w:rsidR="00D057EC" w:rsidRPr="00E809AA">
        <w:rPr>
          <w:rFonts w:ascii="Arial" w:hAnsi="Arial" w:cs="Arial"/>
          <w:sz w:val="24"/>
          <w:szCs w:val="24"/>
        </w:rPr>
        <w:t>/</w:t>
      </w:r>
      <w:proofErr w:type="spellStart"/>
      <w:r w:rsidR="00D057EC" w:rsidRPr="00E809AA">
        <w:rPr>
          <w:rFonts w:ascii="Arial" w:hAnsi="Arial" w:cs="Arial"/>
          <w:sz w:val="24"/>
          <w:szCs w:val="24"/>
        </w:rPr>
        <w:t>mNG-NarL</w:t>
      </w:r>
      <w:proofErr w:type="spellEnd"/>
      <w:r w:rsidR="00D057EC" w:rsidRPr="00E809AA">
        <w:rPr>
          <w:rFonts w:ascii="Arial" w:hAnsi="Arial" w:cs="Arial"/>
          <w:sz w:val="24"/>
          <w:szCs w:val="24"/>
        </w:rPr>
        <w:t xml:space="preserve"> system</w:t>
      </w:r>
      <w:r w:rsidR="00B141DF" w:rsidRPr="00E809AA">
        <w:rPr>
          <w:rFonts w:ascii="Arial" w:hAnsi="Arial" w:cs="Arial"/>
          <w:sz w:val="24"/>
          <w:szCs w:val="24"/>
        </w:rPr>
        <w:t xml:space="preserve">. </w:t>
      </w:r>
    </w:p>
    <w:p w14:paraId="72117823" w14:textId="77777777" w:rsidR="000C02DE" w:rsidRPr="00E809AA" w:rsidRDefault="000C02DE" w:rsidP="00E809AA">
      <w:pPr>
        <w:jc w:val="both"/>
        <w:rPr>
          <w:rFonts w:ascii="Arial" w:hAnsi="Arial" w:cs="Arial"/>
          <w:sz w:val="24"/>
          <w:szCs w:val="24"/>
        </w:rPr>
      </w:pPr>
    </w:p>
    <w:p w14:paraId="6D6E5C43" w14:textId="50EFF765" w:rsidR="00571E7E" w:rsidRPr="00E809AA" w:rsidRDefault="00B141DF" w:rsidP="00E809AA">
      <w:p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T</w:t>
      </w:r>
      <w:r w:rsidR="00D057EC" w:rsidRPr="00E809AA">
        <w:rPr>
          <w:rFonts w:ascii="Arial" w:hAnsi="Arial" w:cs="Arial"/>
          <w:sz w:val="24"/>
          <w:szCs w:val="24"/>
        </w:rPr>
        <w:t xml:space="preserve">he protocol can be customized for different </w:t>
      </w:r>
      <w:r w:rsidRPr="00E809AA">
        <w:rPr>
          <w:rFonts w:ascii="Arial" w:hAnsi="Arial" w:cs="Arial"/>
          <w:sz w:val="24"/>
          <w:szCs w:val="24"/>
        </w:rPr>
        <w:t xml:space="preserve">experimental conditions or </w:t>
      </w:r>
      <w:r w:rsidR="00D057EC" w:rsidRPr="00E809AA">
        <w:rPr>
          <w:rFonts w:ascii="Arial" w:hAnsi="Arial" w:cs="Arial"/>
          <w:sz w:val="24"/>
          <w:szCs w:val="24"/>
        </w:rPr>
        <w:t xml:space="preserve">TCSs, assuming dimerization of the RR produces a measurable </w:t>
      </w:r>
      <w:proofErr w:type="spellStart"/>
      <w:r w:rsidR="00D057EC" w:rsidRPr="00E809AA">
        <w:rPr>
          <w:rFonts w:ascii="Arial" w:hAnsi="Arial" w:cs="Arial"/>
          <w:sz w:val="24"/>
          <w:szCs w:val="24"/>
        </w:rPr>
        <w:t>homoFRET</w:t>
      </w:r>
      <w:proofErr w:type="spellEnd"/>
      <w:r w:rsidR="00D057EC" w:rsidRPr="00E809AA">
        <w:rPr>
          <w:rFonts w:ascii="Arial" w:hAnsi="Arial" w:cs="Arial"/>
          <w:sz w:val="24"/>
          <w:szCs w:val="24"/>
        </w:rPr>
        <w:t xml:space="preserve"> signal.</w:t>
      </w:r>
    </w:p>
    <w:p w14:paraId="67B6C26E" w14:textId="77777777" w:rsidR="00571E7E" w:rsidRPr="00E809AA" w:rsidRDefault="00571E7E" w:rsidP="00E809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1DD8F8" w14:textId="6A2BFBE0" w:rsidR="00571E7E" w:rsidRPr="00E809AA" w:rsidRDefault="00571E7E" w:rsidP="00E809AA">
      <w:p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  <w:u w:val="single"/>
        </w:rPr>
        <w:t>Equipment required:</w:t>
      </w:r>
    </w:p>
    <w:p w14:paraId="346AC333" w14:textId="7B67DA14" w:rsidR="00571E7E" w:rsidRPr="00E809AA" w:rsidRDefault="00571E7E" w:rsidP="00E809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37C shaking incubator</w:t>
      </w:r>
    </w:p>
    <w:p w14:paraId="5A26324A" w14:textId="460AE578" w:rsidR="00571E7E" w:rsidRPr="00E809AA" w:rsidRDefault="00571E7E" w:rsidP="00E809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Plate reader with fluorescence polarization capability</w:t>
      </w:r>
    </w:p>
    <w:p w14:paraId="2B120529" w14:textId="7E5271A1" w:rsidR="00571E7E" w:rsidRPr="00E809AA" w:rsidRDefault="00571E7E" w:rsidP="00E809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Microscope with fluorescence polarization capability (optional)</w:t>
      </w:r>
    </w:p>
    <w:p w14:paraId="704EB0F6" w14:textId="3BDE1E8E" w:rsidR="00571E7E" w:rsidRPr="00E809AA" w:rsidRDefault="00571E7E" w:rsidP="00E809AA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53470B2C" w14:textId="48989D50" w:rsidR="00571E7E" w:rsidRPr="00E809AA" w:rsidRDefault="00571E7E" w:rsidP="00E809AA">
      <w:p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  <w:u w:val="single"/>
        </w:rPr>
        <w:t>Solutions:</w:t>
      </w:r>
    </w:p>
    <w:p w14:paraId="0C7F78EF" w14:textId="388BA4E5" w:rsidR="00571E7E" w:rsidRPr="00E809AA" w:rsidRDefault="00571E7E" w:rsidP="00E809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LB media</w:t>
      </w:r>
    </w:p>
    <w:p w14:paraId="21D7DEC8" w14:textId="33224AE6" w:rsidR="00571E7E" w:rsidRPr="00E809AA" w:rsidRDefault="00571E7E" w:rsidP="00E809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M9 minimal media</w:t>
      </w:r>
    </w:p>
    <w:p w14:paraId="45A02FB9" w14:textId="155D6212" w:rsidR="00571E7E" w:rsidRPr="00E809AA" w:rsidRDefault="00571E7E" w:rsidP="00E809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M9 minimal media + 50mM sodium nitrate</w:t>
      </w:r>
    </w:p>
    <w:p w14:paraId="5E2888FD" w14:textId="3A8816CB" w:rsidR="00571E7E" w:rsidRPr="00E809AA" w:rsidRDefault="00571E7E" w:rsidP="00E809AA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11DF43D0" w14:textId="56302817" w:rsidR="00571E7E" w:rsidRPr="00E809AA" w:rsidRDefault="00D057EC" w:rsidP="00E809AA">
      <w:p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  <w:u w:val="single"/>
        </w:rPr>
        <w:t>Day 1</w:t>
      </w:r>
    </w:p>
    <w:p w14:paraId="107EE522" w14:textId="74C73CC5" w:rsidR="00D057EC" w:rsidRPr="00E809AA" w:rsidRDefault="00D057EC" w:rsidP="00E809A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 xml:space="preserve">Inoculate 3 mL LB + relevant antibiotics (here spectinomycin and chloramphenicol) with the desired strain (here </w:t>
      </w:r>
      <w:r w:rsidRPr="00E809AA">
        <w:rPr>
          <w:rFonts w:ascii="Arial" w:hAnsi="Arial" w:cs="Arial"/>
          <w:i/>
          <w:iCs/>
          <w:sz w:val="24"/>
          <w:szCs w:val="24"/>
        </w:rPr>
        <w:t xml:space="preserve">E. coli </w:t>
      </w:r>
      <w:r w:rsidRPr="00E809AA">
        <w:rPr>
          <w:rFonts w:ascii="Arial" w:hAnsi="Arial" w:cs="Arial"/>
          <w:sz w:val="24"/>
          <w:szCs w:val="24"/>
        </w:rPr>
        <w:t>BW29658 transformed with pRB117.2 and pKD317.8).</w:t>
      </w:r>
    </w:p>
    <w:p w14:paraId="1A7340B0" w14:textId="5955E3A3" w:rsidR="00D057EC" w:rsidRPr="00E809AA" w:rsidRDefault="00D057EC" w:rsidP="00E809A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>Incubate the culture overnight in a 37C shaking incubator (250 rpm) to reach saturation (14-18hrs).</w:t>
      </w:r>
    </w:p>
    <w:p w14:paraId="4F0AD32F" w14:textId="1BB8F360" w:rsidR="00787B8B" w:rsidRPr="00E809AA" w:rsidRDefault="00787B8B" w:rsidP="00E809A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15D6A3E" w14:textId="337D609A" w:rsidR="00787B8B" w:rsidRPr="00E809AA" w:rsidRDefault="00787B8B" w:rsidP="00E809AA">
      <w:p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  <w:u w:val="single"/>
        </w:rPr>
        <w:t>Day 2</w:t>
      </w:r>
    </w:p>
    <w:p w14:paraId="7262EF4C" w14:textId="77777777" w:rsidR="00795F2F" w:rsidRPr="00E809AA" w:rsidRDefault="00795F2F" w:rsidP="00795F2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>Prepare experimental media: M9 + antibiotics + relevant inducers (anhydrotetracycline (</w:t>
      </w:r>
      <w:proofErr w:type="spellStart"/>
      <w:r w:rsidRPr="00E809AA">
        <w:rPr>
          <w:rFonts w:ascii="Arial" w:hAnsi="Arial" w:cs="Arial"/>
          <w:sz w:val="24"/>
          <w:szCs w:val="24"/>
        </w:rPr>
        <w:t>aTc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) for </w:t>
      </w:r>
      <w:proofErr w:type="spellStart"/>
      <w:r w:rsidRPr="00E809AA">
        <w:rPr>
          <w:rFonts w:ascii="Arial" w:hAnsi="Arial" w:cs="Arial"/>
          <w:sz w:val="24"/>
          <w:szCs w:val="24"/>
        </w:rPr>
        <w:t>mNG-NarL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induction; isopropyl-β-D-1-thiogalactopyranoside (IPTG) for </w:t>
      </w:r>
      <w:proofErr w:type="spellStart"/>
      <w:r w:rsidRPr="00E809AA">
        <w:rPr>
          <w:rFonts w:ascii="Arial" w:hAnsi="Arial" w:cs="Arial"/>
          <w:sz w:val="24"/>
          <w:szCs w:val="24"/>
        </w:rPr>
        <w:t>NarX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induction). </w:t>
      </w:r>
    </w:p>
    <w:p w14:paraId="5883208F" w14:textId="77777777" w:rsidR="00795F2F" w:rsidRPr="00E809AA" w:rsidRDefault="00795F2F" w:rsidP="00795F2F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 xml:space="preserve">For example, 2.5 mL M9 + 5 ng/mL </w:t>
      </w:r>
      <w:proofErr w:type="spellStart"/>
      <w:r w:rsidRPr="00E809AA">
        <w:rPr>
          <w:rFonts w:ascii="Arial" w:hAnsi="Arial" w:cs="Arial"/>
          <w:sz w:val="24"/>
          <w:szCs w:val="24"/>
        </w:rPr>
        <w:t>aTc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and 0 mM IPTG.</w:t>
      </w:r>
    </w:p>
    <w:p w14:paraId="3984E1CB" w14:textId="77777777" w:rsidR="00795F2F" w:rsidRPr="00E809AA" w:rsidRDefault="00795F2F" w:rsidP="00795F2F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 xml:space="preserve">Generally, 4 ng/mL </w:t>
      </w:r>
      <w:proofErr w:type="spellStart"/>
      <w:r w:rsidRPr="00E809AA">
        <w:rPr>
          <w:rFonts w:ascii="Arial" w:hAnsi="Arial" w:cs="Arial"/>
          <w:sz w:val="24"/>
          <w:szCs w:val="24"/>
        </w:rPr>
        <w:t>aTc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induces enough </w:t>
      </w:r>
      <w:proofErr w:type="spellStart"/>
      <w:r w:rsidRPr="00E809AA">
        <w:rPr>
          <w:rFonts w:ascii="Arial" w:hAnsi="Arial" w:cs="Arial"/>
          <w:sz w:val="24"/>
          <w:szCs w:val="24"/>
        </w:rPr>
        <w:t>mNG-NarL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for a high-quality fluorescence signal while 12 ng/mL induces a maximal amount of </w:t>
      </w:r>
      <w:proofErr w:type="spellStart"/>
      <w:r w:rsidRPr="00E809AA">
        <w:rPr>
          <w:rFonts w:ascii="Arial" w:hAnsi="Arial" w:cs="Arial"/>
          <w:sz w:val="24"/>
          <w:szCs w:val="24"/>
        </w:rPr>
        <w:t>mNG-NarL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without adversely affecting cell growth. Leaky expression of </w:t>
      </w:r>
      <w:proofErr w:type="spellStart"/>
      <w:r w:rsidRPr="00E809AA">
        <w:rPr>
          <w:rFonts w:ascii="Arial" w:hAnsi="Arial" w:cs="Arial"/>
          <w:sz w:val="24"/>
          <w:szCs w:val="24"/>
        </w:rPr>
        <w:t>NarX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(0 mM IPTG) is sufficient for nitrate-induced </w:t>
      </w:r>
      <w:proofErr w:type="spellStart"/>
      <w:r w:rsidRPr="00E809AA">
        <w:rPr>
          <w:rFonts w:ascii="Arial" w:hAnsi="Arial" w:cs="Arial"/>
          <w:sz w:val="24"/>
          <w:szCs w:val="24"/>
        </w:rPr>
        <w:t>mNG-NarL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phosphorylation while 0.5 mM IPTG induces the maximal amount of </w:t>
      </w:r>
      <w:proofErr w:type="spellStart"/>
      <w:r w:rsidRPr="00E809AA">
        <w:rPr>
          <w:rFonts w:ascii="Arial" w:hAnsi="Arial" w:cs="Arial"/>
          <w:sz w:val="24"/>
          <w:szCs w:val="24"/>
        </w:rPr>
        <w:t>NarX</w:t>
      </w:r>
      <w:proofErr w:type="spellEnd"/>
      <w:r w:rsidRPr="00E809AA">
        <w:rPr>
          <w:rFonts w:ascii="Arial" w:hAnsi="Arial" w:cs="Arial"/>
          <w:sz w:val="24"/>
          <w:szCs w:val="24"/>
        </w:rPr>
        <w:t>. Altered inducer concentrations may be required to cover the full induction range of either component if there are variations in expression cassette, plasmid architecture, and culturing conditions.</w:t>
      </w:r>
    </w:p>
    <w:p w14:paraId="39D70C67" w14:textId="77777777" w:rsidR="00795F2F" w:rsidRPr="00E809AA" w:rsidRDefault="00795F2F" w:rsidP="00795F2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lastRenderedPageBreak/>
        <w:t>Dilute the overnight culture into the experimental media by a factor of 1:1000. The volume used here is based on the number of wells (experimental conditions) used.</w:t>
      </w:r>
    </w:p>
    <w:p w14:paraId="0A03953A" w14:textId="77777777" w:rsidR="00795F2F" w:rsidRPr="00E809AA" w:rsidRDefault="00795F2F" w:rsidP="00795F2F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 xml:space="preserve">For this example, 5 wells will be used so the volume of diluted culture should be 1 </w:t>
      </w:r>
      <w:proofErr w:type="spellStart"/>
      <w:r w:rsidRPr="00E809AA">
        <w:rPr>
          <w:rFonts w:ascii="Arial" w:hAnsi="Arial" w:cs="Arial"/>
          <w:sz w:val="24"/>
          <w:szCs w:val="24"/>
        </w:rPr>
        <w:t>mL.</w:t>
      </w:r>
      <w:proofErr w:type="spellEnd"/>
    </w:p>
    <w:p w14:paraId="46808253" w14:textId="77777777" w:rsidR="00795F2F" w:rsidRPr="00E809AA" w:rsidRDefault="00795F2F" w:rsidP="00795F2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>Separate the diluted culture into 180 µL volumes in different wells of a 96-well plate. This is when experimental conditions (</w:t>
      </w:r>
      <w:proofErr w:type="gramStart"/>
      <w:r w:rsidRPr="00E809AA">
        <w:rPr>
          <w:rFonts w:ascii="Arial" w:hAnsi="Arial" w:cs="Arial"/>
          <w:sz w:val="24"/>
          <w:szCs w:val="24"/>
        </w:rPr>
        <w:t>e.g.</w:t>
      </w:r>
      <w:proofErr w:type="gramEnd"/>
      <w:r w:rsidRPr="00E809AA">
        <w:rPr>
          <w:rFonts w:ascii="Arial" w:hAnsi="Arial" w:cs="Arial"/>
          <w:sz w:val="24"/>
          <w:szCs w:val="24"/>
        </w:rPr>
        <w:t xml:space="preserve"> different induction conditions) are applied.</w:t>
      </w:r>
    </w:p>
    <w:p w14:paraId="4B148318" w14:textId="77777777" w:rsidR="00795F2F" w:rsidRPr="00E809AA" w:rsidRDefault="00795F2F" w:rsidP="00795F2F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>For example, add 0, 4, 8, 32, and 128 µM IPTG to the 5 wells.</w:t>
      </w:r>
    </w:p>
    <w:p w14:paraId="6CF5FA7F" w14:textId="77777777" w:rsidR="00795F2F" w:rsidRPr="00E809AA" w:rsidRDefault="00795F2F" w:rsidP="00795F2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E809AA">
        <w:rPr>
          <w:rFonts w:ascii="Arial" w:hAnsi="Arial" w:cs="Arial"/>
          <w:sz w:val="24"/>
          <w:szCs w:val="24"/>
        </w:rPr>
        <w:t>Place the plate the in 37C incubator for roughly 4 hours, until the cells reach exponential phase (OD</w:t>
      </w:r>
      <w:r w:rsidRPr="00E809AA">
        <w:rPr>
          <w:rFonts w:ascii="Arial" w:hAnsi="Arial" w:cs="Arial"/>
          <w:sz w:val="24"/>
          <w:szCs w:val="24"/>
          <w:vertAlign w:val="subscript"/>
        </w:rPr>
        <w:t>600</w:t>
      </w:r>
      <w:r w:rsidRPr="00E809AA">
        <w:rPr>
          <w:rFonts w:ascii="Arial" w:hAnsi="Arial" w:cs="Arial"/>
          <w:sz w:val="24"/>
          <w:szCs w:val="24"/>
        </w:rPr>
        <w:t xml:space="preserve"> ~ 0.3-0.6).</w:t>
      </w:r>
    </w:p>
    <w:p w14:paraId="41891C60" w14:textId="77777777" w:rsidR="00795F2F" w:rsidRPr="00E809AA" w:rsidRDefault="00795F2F" w:rsidP="00E809AA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251DA1A6" w14:textId="0640C38E" w:rsidR="00571E7E" w:rsidRPr="00E809AA" w:rsidRDefault="00571E7E" w:rsidP="00E809A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E809AA">
        <w:rPr>
          <w:rFonts w:ascii="Arial" w:hAnsi="Arial" w:cs="Arial"/>
          <w:i/>
          <w:iCs/>
          <w:sz w:val="24"/>
          <w:szCs w:val="24"/>
        </w:rPr>
        <w:t>Plate reader</w:t>
      </w:r>
      <w:r w:rsidR="00C02092" w:rsidRPr="00E809AA">
        <w:rPr>
          <w:rFonts w:ascii="Arial" w:hAnsi="Arial" w:cs="Arial"/>
          <w:i/>
          <w:iCs/>
          <w:sz w:val="24"/>
          <w:szCs w:val="24"/>
        </w:rPr>
        <w:t xml:space="preserve"> measurements</w:t>
      </w:r>
    </w:p>
    <w:p w14:paraId="7D9ACF83" w14:textId="3F47A72D" w:rsidR="00C02092" w:rsidRPr="00E809AA" w:rsidRDefault="00C02092" w:rsidP="00795F2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Pre-heat the plate reader to 37C.</w:t>
      </w:r>
    </w:p>
    <w:p w14:paraId="3AE533E7" w14:textId="749F09C1" w:rsidR="00131B87" w:rsidRPr="00E809AA" w:rsidRDefault="00131B87" w:rsidP="00795F2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Prime the liquid handler with 1.050 mL M9 + 50 mM nitrate, ensuring that &gt; 20 µL per sample remain in the reservoir.</w:t>
      </w:r>
    </w:p>
    <w:p w14:paraId="15BBA29A" w14:textId="79E4BA42" w:rsidR="00C02092" w:rsidRPr="00E809AA" w:rsidRDefault="00D64E5C" w:rsidP="00795F2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Generate acquisition protocol consisting of pre- and post- ligand addition timepoints with shaking (1 second, double orbital, 282 </w:t>
      </w:r>
      <w:proofErr w:type="spellStart"/>
      <w:r w:rsidRPr="00E809AA">
        <w:rPr>
          <w:rFonts w:ascii="Arial" w:hAnsi="Arial" w:cs="Arial"/>
          <w:sz w:val="24"/>
          <w:szCs w:val="24"/>
        </w:rPr>
        <w:t>cpm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, 3mm amplitude) before each step. </w:t>
      </w:r>
      <w:r w:rsidR="002F45EA" w:rsidRPr="00E809AA">
        <w:rPr>
          <w:rFonts w:ascii="Arial" w:hAnsi="Arial" w:cs="Arial"/>
          <w:sz w:val="24"/>
          <w:szCs w:val="24"/>
        </w:rPr>
        <w:t xml:space="preserve">Fluorescence polarization (ex: 485/20 nm; </w:t>
      </w:r>
      <w:proofErr w:type="spellStart"/>
      <w:r w:rsidR="002F45EA" w:rsidRPr="00E809AA">
        <w:rPr>
          <w:rFonts w:ascii="Arial" w:hAnsi="Arial" w:cs="Arial"/>
          <w:sz w:val="24"/>
          <w:szCs w:val="24"/>
        </w:rPr>
        <w:t>em</w:t>
      </w:r>
      <w:proofErr w:type="spellEnd"/>
      <w:r w:rsidR="002F45EA" w:rsidRPr="00E809AA">
        <w:rPr>
          <w:rFonts w:ascii="Arial" w:hAnsi="Arial" w:cs="Arial"/>
          <w:sz w:val="24"/>
          <w:szCs w:val="24"/>
        </w:rPr>
        <w:t>: 528/20 nm, 40 measurements/data point, gain 57)</w:t>
      </w:r>
      <w:r w:rsidR="00131B87" w:rsidRPr="00E809AA">
        <w:rPr>
          <w:rFonts w:ascii="Arial" w:hAnsi="Arial" w:cs="Arial"/>
          <w:sz w:val="24"/>
          <w:szCs w:val="24"/>
        </w:rPr>
        <w:t xml:space="preserve"> of all samples can be measured every 4 minutes. Alternatively, faster acquisition periods are possible if only a single well is analyzed.</w:t>
      </w:r>
    </w:p>
    <w:p w14:paraId="7469FC8D" w14:textId="16223F5C" w:rsidR="00D64E5C" w:rsidRPr="00E809AA" w:rsidRDefault="00D64E5C" w:rsidP="00E809AA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For example, </w:t>
      </w:r>
      <w:r w:rsidR="00131B87" w:rsidRPr="00E809AA">
        <w:rPr>
          <w:rFonts w:ascii="Arial" w:hAnsi="Arial" w:cs="Arial"/>
          <w:sz w:val="24"/>
          <w:szCs w:val="24"/>
        </w:rPr>
        <w:t xml:space="preserve">collect 2 data points for all samples, dispense 20 </w:t>
      </w:r>
      <w:r w:rsidR="00131B87" w:rsidRPr="00E809AA">
        <w:rPr>
          <w:rFonts w:ascii="Arial" w:hAnsi="Arial" w:cs="Arial"/>
          <w:sz w:val="24"/>
          <w:szCs w:val="24"/>
        </w:rPr>
        <w:t>µL</w:t>
      </w:r>
      <w:r w:rsidR="00131B87" w:rsidRPr="00E809AA">
        <w:rPr>
          <w:rFonts w:ascii="Arial" w:hAnsi="Arial" w:cs="Arial"/>
          <w:sz w:val="24"/>
          <w:szCs w:val="24"/>
        </w:rPr>
        <w:t xml:space="preserve"> M9 + 50 mM nitrate to all wells, shake for 1 second, then collect 16 more data points for all samples (totaling 68 minutes).</w:t>
      </w:r>
    </w:p>
    <w:p w14:paraId="3AE5672B" w14:textId="17613E7A" w:rsidR="00131B87" w:rsidRPr="00E809AA" w:rsidRDefault="00131B87" w:rsidP="00E809AA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Alternatively, ligand can be added manually </w:t>
      </w:r>
      <w:r w:rsidR="0006217A" w:rsidRPr="00E809AA">
        <w:rPr>
          <w:rFonts w:ascii="Arial" w:hAnsi="Arial" w:cs="Arial"/>
          <w:sz w:val="24"/>
          <w:szCs w:val="24"/>
        </w:rPr>
        <w:t xml:space="preserve">via pipette </w:t>
      </w:r>
      <w:r w:rsidRPr="00E809AA">
        <w:rPr>
          <w:rFonts w:ascii="Arial" w:hAnsi="Arial" w:cs="Arial"/>
          <w:sz w:val="24"/>
          <w:szCs w:val="24"/>
        </w:rPr>
        <w:t>as long as the timing be</w:t>
      </w:r>
      <w:r w:rsidR="0006217A" w:rsidRPr="00E809AA">
        <w:rPr>
          <w:rFonts w:ascii="Arial" w:hAnsi="Arial" w:cs="Arial"/>
          <w:sz w:val="24"/>
          <w:szCs w:val="24"/>
        </w:rPr>
        <w:t>tween pausing, ligand addition, and resuming data collection is accounted for.</w:t>
      </w:r>
    </w:p>
    <w:p w14:paraId="08A67E81" w14:textId="107DCF36" w:rsidR="0006217A" w:rsidRPr="00E809AA" w:rsidRDefault="0006217A" w:rsidP="00E809A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Export data to Excel</w:t>
      </w:r>
    </w:p>
    <w:p w14:paraId="4582F27B" w14:textId="00F900A7" w:rsidR="0006217A" w:rsidRPr="00E809AA" w:rsidRDefault="0006217A" w:rsidP="00E809AA">
      <w:pPr>
        <w:jc w:val="both"/>
        <w:rPr>
          <w:rFonts w:ascii="Arial" w:hAnsi="Arial" w:cs="Arial"/>
          <w:sz w:val="24"/>
          <w:szCs w:val="24"/>
        </w:rPr>
      </w:pPr>
    </w:p>
    <w:p w14:paraId="6B9ABA4B" w14:textId="26E0D07A" w:rsidR="0006217A" w:rsidRPr="00E809AA" w:rsidRDefault="0006217A" w:rsidP="00E809A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E809AA">
        <w:rPr>
          <w:rFonts w:ascii="Arial" w:hAnsi="Arial" w:cs="Arial"/>
          <w:i/>
          <w:iCs/>
          <w:sz w:val="24"/>
          <w:szCs w:val="24"/>
        </w:rPr>
        <w:t>Analyzing plate reader data</w:t>
      </w:r>
    </w:p>
    <w:p w14:paraId="19AA8F65" w14:textId="78FDDABA" w:rsidR="0006217A" w:rsidRPr="00E809AA" w:rsidRDefault="0006217A" w:rsidP="00E809A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Load the Excel data file and extract raw parallel and perpendicular fluorescence channel measurements.</w:t>
      </w:r>
    </w:p>
    <w:p w14:paraId="3DBD12AC" w14:textId="576C05DA" w:rsidR="0006217A" w:rsidRPr="00E809AA" w:rsidRDefault="0006217A" w:rsidP="00E809A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Compute anisotropy for all data points (</w:t>
      </w:r>
      <w:r w:rsidRPr="00E809AA">
        <w:rPr>
          <w:rFonts w:ascii="Arial" w:hAnsi="Arial" w:cs="Arial"/>
          <w:b/>
          <w:bCs/>
          <w:sz w:val="24"/>
          <w:szCs w:val="24"/>
        </w:rPr>
        <w:t>Eqn. 1</w:t>
      </w:r>
      <w:r w:rsidRPr="00E809AA">
        <w:rPr>
          <w:rFonts w:ascii="Arial" w:hAnsi="Arial" w:cs="Arial"/>
          <w:sz w:val="24"/>
          <w:szCs w:val="24"/>
        </w:rPr>
        <w:t>).</w:t>
      </w:r>
    </w:p>
    <w:p w14:paraId="3BFCE498" w14:textId="13294E6D" w:rsidR="0006217A" w:rsidRPr="00E809AA" w:rsidRDefault="0006217A" w:rsidP="00E809A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Perform the relevant anisotropy corrections as discussed in </w:t>
      </w:r>
      <w:r w:rsidRPr="00E809AA">
        <w:rPr>
          <w:rFonts w:ascii="Arial" w:hAnsi="Arial" w:cs="Arial"/>
          <w:b/>
          <w:bCs/>
          <w:sz w:val="24"/>
          <w:szCs w:val="24"/>
        </w:rPr>
        <w:t>SI text 1</w:t>
      </w:r>
      <w:r w:rsidRPr="00E809AA">
        <w:rPr>
          <w:rFonts w:ascii="Arial" w:hAnsi="Arial" w:cs="Arial"/>
          <w:sz w:val="24"/>
          <w:szCs w:val="24"/>
        </w:rPr>
        <w:t>.</w:t>
      </w:r>
    </w:p>
    <w:p w14:paraId="32B26D29" w14:textId="60A5BBCF" w:rsidR="0006217A" w:rsidRPr="00E809AA" w:rsidRDefault="005D602F" w:rsidP="00E809A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Fit and analyze anisotropy </w:t>
      </w:r>
      <w:proofErr w:type="spellStart"/>
      <w:r w:rsidRPr="00E809AA">
        <w:rPr>
          <w:rFonts w:ascii="Arial" w:hAnsi="Arial" w:cs="Arial"/>
          <w:sz w:val="24"/>
          <w:szCs w:val="24"/>
        </w:rPr>
        <w:t>timecourses</w:t>
      </w:r>
      <w:proofErr w:type="spellEnd"/>
      <w:r w:rsidRPr="00E809AA">
        <w:rPr>
          <w:rFonts w:ascii="Arial" w:hAnsi="Arial" w:cs="Arial"/>
          <w:sz w:val="24"/>
          <w:szCs w:val="24"/>
        </w:rPr>
        <w:t>.</w:t>
      </w:r>
    </w:p>
    <w:p w14:paraId="5122D262" w14:textId="4586D02E" w:rsidR="003D09B7" w:rsidRPr="00E809AA" w:rsidRDefault="003D09B7" w:rsidP="00E809AA">
      <w:pPr>
        <w:jc w:val="both"/>
        <w:rPr>
          <w:rFonts w:ascii="Arial" w:hAnsi="Arial" w:cs="Arial"/>
          <w:sz w:val="24"/>
          <w:szCs w:val="24"/>
        </w:rPr>
      </w:pPr>
    </w:p>
    <w:p w14:paraId="103BE7AF" w14:textId="593D2330" w:rsidR="003D09B7" w:rsidRPr="00E809AA" w:rsidRDefault="003D09B7" w:rsidP="00E809A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E809AA">
        <w:rPr>
          <w:rFonts w:ascii="Arial" w:hAnsi="Arial" w:cs="Arial"/>
          <w:i/>
          <w:iCs/>
          <w:sz w:val="24"/>
          <w:szCs w:val="24"/>
        </w:rPr>
        <w:t>Polarization microscopy measurements</w:t>
      </w:r>
    </w:p>
    <w:p w14:paraId="197BC50D" w14:textId="44FA02FB" w:rsidR="003D09B7" w:rsidRPr="00E809AA" w:rsidRDefault="003D09B7" w:rsidP="00E809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If measuring cells on an agar pad, prepare a solution of 1% agarose in PBS, microwave for twenty seconds, and set between two glass slides separated by 1mm glass slides for at least one hour.</w:t>
      </w:r>
    </w:p>
    <w:p w14:paraId="46513751" w14:textId="25E187CA" w:rsidR="003D09B7" w:rsidRPr="00E809AA" w:rsidRDefault="000B2006" w:rsidP="00E809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lastRenderedPageBreak/>
        <w:t>Load 0.2 µL cell culture onto the surface of the pad. Let dry the place a coverslip over the surface.</w:t>
      </w:r>
    </w:p>
    <w:p w14:paraId="582314F1" w14:textId="49DF62A3" w:rsidR="000B2006" w:rsidRPr="00E809AA" w:rsidRDefault="000B2006" w:rsidP="00E809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If utilizing a microfluidic device (such as </w:t>
      </w:r>
      <w:proofErr w:type="spellStart"/>
      <w:r w:rsidRPr="00E809AA">
        <w:rPr>
          <w:rFonts w:ascii="Arial" w:hAnsi="Arial" w:cs="Arial"/>
          <w:sz w:val="24"/>
          <w:szCs w:val="24"/>
        </w:rPr>
        <w:t>CellASIC</w:t>
      </w:r>
      <w:proofErr w:type="spellEnd"/>
      <w:r w:rsidRPr="00E809AA">
        <w:rPr>
          <w:rFonts w:ascii="Arial" w:hAnsi="Arial" w:cs="Arial"/>
          <w:sz w:val="24"/>
          <w:szCs w:val="24"/>
        </w:rPr>
        <w:t xml:space="preserve"> ONIX), prepare the device according to the manufacturer and generate a time-lapse microscopy protocol. </w:t>
      </w:r>
    </w:p>
    <w:p w14:paraId="2FC984B8" w14:textId="19D7D72A" w:rsidR="000B2006" w:rsidRPr="00E809AA" w:rsidRDefault="000B2006" w:rsidP="00E809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Image the parallel and perpendicular fluorescence emission images of the cells by utilizing an image splitting module (W-View, Hamamatsu) equipped with parallel and perpendicular linear polarizers (Meadowlark) relative to an additional polarizer in the excitation cup of the microscope. </w:t>
      </w:r>
    </w:p>
    <w:p w14:paraId="086638D5" w14:textId="1E0E1902" w:rsidR="000B2006" w:rsidRPr="00E809AA" w:rsidRDefault="000B2006" w:rsidP="00E809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>Export images for analysis</w:t>
      </w:r>
    </w:p>
    <w:p w14:paraId="1DE21C2C" w14:textId="72AF28AF" w:rsidR="000B2006" w:rsidRPr="00E809AA" w:rsidRDefault="000B2006" w:rsidP="00E809AA">
      <w:pPr>
        <w:jc w:val="both"/>
        <w:rPr>
          <w:rFonts w:ascii="Arial" w:hAnsi="Arial" w:cs="Arial"/>
          <w:sz w:val="24"/>
          <w:szCs w:val="24"/>
        </w:rPr>
      </w:pPr>
    </w:p>
    <w:p w14:paraId="44B8C8AC" w14:textId="2306D1E5" w:rsidR="000B2006" w:rsidRPr="00E809AA" w:rsidRDefault="000B2006" w:rsidP="00E809AA">
      <w:p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i/>
          <w:iCs/>
          <w:sz w:val="24"/>
          <w:szCs w:val="24"/>
        </w:rPr>
        <w:t>Analyzing polarization microscopy images</w:t>
      </w:r>
    </w:p>
    <w:p w14:paraId="57AF0EF7" w14:textId="3F00327D" w:rsidR="000B2006" w:rsidRPr="00E809AA" w:rsidRDefault="000B2006" w:rsidP="00E809A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Perform cell-segmentation to </w:t>
      </w:r>
      <w:r w:rsidR="00EE03EB" w:rsidRPr="00E809AA">
        <w:rPr>
          <w:rFonts w:ascii="Arial" w:hAnsi="Arial" w:cs="Arial"/>
          <w:sz w:val="24"/>
          <w:szCs w:val="24"/>
        </w:rPr>
        <w:t>acquire the mean parallel and perpendicular fluorescence intensity values for each individual cell.</w:t>
      </w:r>
    </w:p>
    <w:p w14:paraId="059DAC39" w14:textId="5AEE2828" w:rsidR="00EE03EB" w:rsidRPr="00E809AA" w:rsidRDefault="00EE03EB" w:rsidP="00E809A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809AA">
        <w:rPr>
          <w:rFonts w:ascii="Arial" w:hAnsi="Arial" w:cs="Arial"/>
          <w:sz w:val="24"/>
          <w:szCs w:val="24"/>
        </w:rPr>
        <w:t xml:space="preserve">Calculate anisotropy as in </w:t>
      </w:r>
      <w:r w:rsidRPr="00E809AA">
        <w:rPr>
          <w:rFonts w:ascii="Arial" w:hAnsi="Arial" w:cs="Arial"/>
          <w:b/>
          <w:bCs/>
          <w:sz w:val="24"/>
          <w:szCs w:val="24"/>
        </w:rPr>
        <w:t>Eqn. 1</w:t>
      </w:r>
      <w:r w:rsidRPr="00E809AA">
        <w:rPr>
          <w:rFonts w:ascii="Arial" w:hAnsi="Arial" w:cs="Arial"/>
          <w:sz w:val="24"/>
          <w:szCs w:val="24"/>
        </w:rPr>
        <w:t>.</w:t>
      </w:r>
    </w:p>
    <w:sectPr w:rsidR="00EE03EB" w:rsidRPr="00E8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F21"/>
    <w:multiLevelType w:val="hybridMultilevel"/>
    <w:tmpl w:val="DB4A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21AF"/>
    <w:multiLevelType w:val="hybridMultilevel"/>
    <w:tmpl w:val="010C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36454"/>
    <w:multiLevelType w:val="hybridMultilevel"/>
    <w:tmpl w:val="3E42E616"/>
    <w:lvl w:ilvl="0" w:tplc="D8DCF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245B8"/>
    <w:multiLevelType w:val="hybridMultilevel"/>
    <w:tmpl w:val="B91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41737"/>
    <w:multiLevelType w:val="hybridMultilevel"/>
    <w:tmpl w:val="B126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F0636"/>
    <w:multiLevelType w:val="hybridMultilevel"/>
    <w:tmpl w:val="E654D1F6"/>
    <w:lvl w:ilvl="0" w:tplc="104ED15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4A6EA2"/>
    <w:multiLevelType w:val="hybridMultilevel"/>
    <w:tmpl w:val="259C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F2B1B"/>
    <w:multiLevelType w:val="hybridMultilevel"/>
    <w:tmpl w:val="D044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65B26"/>
    <w:multiLevelType w:val="hybridMultilevel"/>
    <w:tmpl w:val="7646BC5A"/>
    <w:lvl w:ilvl="0" w:tplc="E4DA1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10772">
    <w:abstractNumId w:val="3"/>
  </w:num>
  <w:num w:numId="2" w16cid:durableId="1413239200">
    <w:abstractNumId w:val="4"/>
  </w:num>
  <w:num w:numId="3" w16cid:durableId="186914358">
    <w:abstractNumId w:val="6"/>
  </w:num>
  <w:num w:numId="4" w16cid:durableId="2002808393">
    <w:abstractNumId w:val="5"/>
  </w:num>
  <w:num w:numId="5" w16cid:durableId="1324239670">
    <w:abstractNumId w:val="2"/>
  </w:num>
  <w:num w:numId="6" w16cid:durableId="1570850046">
    <w:abstractNumId w:val="0"/>
  </w:num>
  <w:num w:numId="7" w16cid:durableId="1447969547">
    <w:abstractNumId w:val="7"/>
  </w:num>
  <w:num w:numId="8" w16cid:durableId="1282494072">
    <w:abstractNumId w:val="1"/>
  </w:num>
  <w:num w:numId="9" w16cid:durableId="1204102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7E"/>
    <w:rsid w:val="0006217A"/>
    <w:rsid w:val="000A05C8"/>
    <w:rsid w:val="000B2006"/>
    <w:rsid w:val="000C02DE"/>
    <w:rsid w:val="00131B87"/>
    <w:rsid w:val="00261F4E"/>
    <w:rsid w:val="002B4BBF"/>
    <w:rsid w:val="002E179C"/>
    <w:rsid w:val="002F45EA"/>
    <w:rsid w:val="00372DF9"/>
    <w:rsid w:val="003D09B7"/>
    <w:rsid w:val="003E31D7"/>
    <w:rsid w:val="004A66AE"/>
    <w:rsid w:val="00571E7E"/>
    <w:rsid w:val="005D602F"/>
    <w:rsid w:val="00711AB2"/>
    <w:rsid w:val="00787B8B"/>
    <w:rsid w:val="00795F2F"/>
    <w:rsid w:val="00A04435"/>
    <w:rsid w:val="00A82468"/>
    <w:rsid w:val="00B141DF"/>
    <w:rsid w:val="00B35FCD"/>
    <w:rsid w:val="00C02092"/>
    <w:rsid w:val="00D057EC"/>
    <w:rsid w:val="00D64E5C"/>
    <w:rsid w:val="00E809AA"/>
    <w:rsid w:val="00E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4DF0"/>
  <w15:chartTrackingRefBased/>
  <w15:docId w15:val="{CA59DF7D-944A-434D-AE04-2B30AD25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Butcher</dc:creator>
  <cp:keywords/>
  <dc:description/>
  <cp:lastModifiedBy>Ryan Butcher</cp:lastModifiedBy>
  <cp:revision>7</cp:revision>
  <dcterms:created xsi:type="dcterms:W3CDTF">2022-06-17T12:38:00Z</dcterms:created>
  <dcterms:modified xsi:type="dcterms:W3CDTF">2022-06-17T16:28:00Z</dcterms:modified>
</cp:coreProperties>
</file>