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4"/>
        </w:rPr>
        <w:t>Huurovereenkomst betreffende woonruimte</w:t>
      </w:r>
    </w:p>
    <w:p>
      <w:pPr>
        <w:spacing w:after="240"/>
        <w:jc w:val="center"/>
      </w:pPr>
      <w:r>
        <w:rPr>
          <w:rFonts w:ascii="Times New Roman" w:hAnsi="Times New Roman"/>
          <w:i/>
          <w:sz w:val="19"/>
        </w:rPr>
        <w:t>Overeenkomst voor onbepaalde tijd met afzonderlijke bijzondere bepalingen</w:t>
      </w:r>
    </w:p>
    <w:p>
      <w:pPr>
        <w:spacing w:after="220"/>
        <w:jc w:val="center"/>
      </w:pPr>
      <w:r>
        <w:rPr>
          <w:rFonts w:ascii="Times New Roman" w:hAnsi="Times New Roman"/>
          <w:i/>
          <w:sz w:val="17"/>
        </w:rPr>
        <w:t>Alle namen, adressen, registratienummers, rekeningnummers en handtekeningen in deze overeenkomst zijn fictief.</w:t>
      </w:r>
    </w:p>
    <w:p>
      <w:pPr>
        <w:pStyle w:val="Heading1"/>
        <w:jc w:val="center"/>
      </w:pPr>
      <w:r>
        <w:t>Ondergetekenden</w:t>
      </w:r>
    </w:p>
    <w:p>
      <w:pPr>
        <w:spacing w:after="100"/>
      </w:pPr>
      <w:r>
        <w:rPr>
          <w:i w:val="0"/>
        </w:rPr>
        <w:t>Lindenstaete Vastgoed B.V., gevestigd aan de Veerhaven 17, 3016 CJ Rotterdam, fictief ingeschreven onder TEST-KVK-1101, rechtsgeldig vertegenwoordigd door de heer J.F. van Leeuwen, hierna te noemen verhuurder,</w:t>
      </w:r>
    </w:p>
    <w:p>
      <w:pPr>
        <w:spacing w:after="100"/>
      </w:pPr>
      <w:r>
        <w:rPr>
          <w:i w:val="0"/>
        </w:rPr>
        <w:t>en mevrouw Yasmin Aksoy, geboren op 11 maart 1989 te Rotterdam, en de heer Bram Jansen, geboren op 24 oktober 1987 te Dordrecht, gezamenlijk thans wonende aan de Schiedamseweg 144-B, 3025 AJ Rotterdam, hierna zowel gezamenlijk als ieder afzonderlijk te noemen huurder,</w:t>
      </w:r>
    </w:p>
    <w:p>
      <w:pPr>
        <w:spacing w:after="100"/>
      </w:pPr>
      <w:r>
        <w:rPr>
          <w:i w:val="0"/>
        </w:rPr>
        <w:t>nemen in aanmerking dat verhuurder de woning duurzaam voor bewoning beschikbaar stelt, dat huurder de woning als gezamenlijk hoofdverblijf wenst te gebruiken en dat partijen hun afspraken als volgt vastleggen.</w:t>
      </w:r>
    </w:p>
    <w:p>
      <w:pPr>
        <w:pStyle w:val="Heading1"/>
      </w:pPr>
      <w:r>
        <w:t>Artikel 1 Omschrijving van het gehuurde</w:t>
      </w:r>
    </w:p>
    <w:p>
      <w:pPr>
        <w:spacing w:after="100"/>
        <w:ind w:left="425" w:hanging="425"/>
      </w:pPr>
      <w:r>
        <w:rPr>
          <w:b/>
        </w:rPr>
        <w:t xml:space="preserve">1.1  </w:t>
      </w:r>
      <w:r>
        <w:t>Het gehuurde betreft de eengezinswoning aan de Essenburgsingel 92, 3022 EE Rotterdam, met voor- en achtertuin, vrijstaande berging en parkeerplaats nummer P-92 op het achtergelegen terrein.</w:t>
      </w:r>
    </w:p>
    <w:p>
      <w:pPr>
        <w:spacing w:after="100"/>
        <w:ind w:left="425" w:hanging="425"/>
      </w:pPr>
      <w:r>
        <w:rPr>
          <w:b/>
        </w:rPr>
        <w:t xml:space="preserve">1.2  </w:t>
      </w:r>
      <w:r>
        <w:t>De woning omvat ongeveer 112 vierkante meter gebruiksoppervlakte en bestaat uit een woonkamer, keuken, vier slaapkamers, badkamer, twee toiletten en zolderruimte. De woning heeft energielabel B en 231 WWS-punten.</w:t>
      </w:r>
    </w:p>
    <w:p>
      <w:pPr>
        <w:spacing w:after="100"/>
        <w:ind w:left="425" w:hanging="425"/>
      </w:pPr>
      <w:r>
        <w:rPr>
          <w:b/>
        </w:rPr>
        <w:t xml:space="preserve">1.3  </w:t>
      </w:r>
      <w:r>
        <w:t>De parkeerplaats en berging volgen het juridische lot van de woning en mogen niet afzonderlijk aan derden worden afgestaan.</w:t>
      </w:r>
    </w:p>
    <w:p>
      <w:pPr>
        <w:pStyle w:val="Heading1"/>
      </w:pPr>
      <w:r>
        <w:t>Artikel 2 Bestemming</w:t>
      </w:r>
    </w:p>
    <w:p>
      <w:pPr>
        <w:spacing w:after="100"/>
        <w:ind w:left="425" w:hanging="425"/>
      </w:pPr>
      <w:r>
        <w:rPr>
          <w:b/>
        </w:rPr>
        <w:t xml:space="preserve">2.1  </w:t>
      </w:r>
      <w:r>
        <w:t>Huurder gebruikt het gehuurde als woonruimte en hoofdverblijf voor beide huurders en hun zoon Elias Jansen. Zonder voorafgaande schriftelijke toestemming mag geen andere duurzame bewoning plaatsvinden.</w:t>
      </w:r>
    </w:p>
    <w:p>
      <w:pPr>
        <w:spacing w:after="100"/>
        <w:ind w:left="425" w:hanging="425"/>
      </w:pPr>
      <w:r>
        <w:rPr>
          <w:b/>
        </w:rPr>
        <w:t xml:space="preserve">2.2  </w:t>
      </w:r>
      <w:r>
        <w:t>Een kantoor aan huis is toegestaan zolang geen personeel of publiek wordt ontvangen, geen reclame wordt aangebracht, geen hinder ontstaat en de woonbestemming overheersend blijft.</w:t>
      </w:r>
    </w:p>
    <w:p>
      <w:pPr>
        <w:spacing w:after="100"/>
        <w:ind w:left="425" w:hanging="425"/>
      </w:pPr>
      <w:r>
        <w:rPr>
          <w:b/>
        </w:rPr>
        <w:t xml:space="preserve">2.3  </w:t>
      </w:r>
      <w:r>
        <w:t>Onderhuur, kamergewijze verhuur, toeristische verhuur en het tegen vergoeding in gebruik geven van de parkeerplaats zijn niet toegestaan.</w:t>
      </w:r>
    </w:p>
    <w:p>
      <w:pPr>
        <w:pStyle w:val="Heading1"/>
      </w:pPr>
      <w:r>
        <w:t>Artikel 3 Duur en terbeschikkingstelling</w:t>
      </w:r>
    </w:p>
    <w:p>
      <w:pPr>
        <w:spacing w:after="100"/>
        <w:ind w:left="425" w:hanging="425"/>
      </w:pPr>
      <w:r>
        <w:rPr>
          <w:b/>
        </w:rPr>
        <w:t xml:space="preserve">3.1  </w:t>
      </w:r>
      <w:r>
        <w:t>De huur gaat in op 15 december 2026 en wordt aangegaan voor onbepaalde tijd. Het gehuurde wordt op de ingangsdatum ter beschikking gesteld nadat huurder alle vóór die datum verschuldigde bedragen heeft voldaan.</w:t>
      </w:r>
    </w:p>
    <w:p>
      <w:pPr>
        <w:spacing w:after="100"/>
        <w:ind w:left="425" w:hanging="425"/>
      </w:pPr>
      <w:r>
        <w:rPr>
          <w:b/>
        </w:rPr>
        <w:t xml:space="preserve">3.2  </w:t>
      </w:r>
      <w:r>
        <w:t>Wanneer de ingangsdatum niet op een werkdag valt, vindt de feitelijke sleuteloverdracht plaats op de laatst voorafgaande werkdag, zonder dat daardoor de overeengekomen ingangsdatum of betalingsverplichting verandert.</w:t>
      </w:r>
    </w:p>
    <w:p>
      <w:r>
        <w:br w:type="page"/>
      </w:r>
    </w:p>
    <w:p>
      <w:pPr>
        <w:pStyle w:val="Heading1"/>
      </w:pPr>
      <w:r>
        <w:t>Artikel 4 Huurprijs en bijkomende bedragen</w:t>
      </w:r>
    </w:p>
    <w:p>
      <w:pPr>
        <w:spacing w:after="100"/>
        <w:ind w:left="425" w:hanging="425"/>
      </w:pPr>
      <w:r>
        <w:rPr>
          <w:b/>
        </w:rPr>
        <w:t xml:space="preserve">4.1  </w:t>
      </w:r>
      <w:r>
        <w:t>De kale huurprijs bedraagt € 1.850,00 per maand. Voor parkeerplaats P-92 is maandelijks € 125,00 verschuldigd. Het voorschot voor servicekosten bedraagt € 85,00, zodat het totaal bij aanvang € 2.060,00 per maand bedraagt.</w:t>
      </w:r>
    </w:p>
    <w:p>
      <w:pPr>
        <w:spacing w:after="100"/>
        <w:ind w:left="425" w:hanging="425"/>
      </w:pPr>
      <w:r>
        <w:rPr>
          <w:b/>
        </w:rPr>
        <w:t xml:space="preserve">4.2  </w:t>
      </w:r>
      <w:r>
        <w:t>De servicekosten hebben betrekking op onderhoud van het achterterrein en de toegangspoort voor € 35,00, glasbewassing van de buitenzijde voor € 20,00, onderhoud van de mechanische ventilatie voor € 18,00 en administratie voor € 12,00 per maand.</w:t>
      </w:r>
    </w:p>
    <w:p>
      <w:pPr>
        <w:spacing w:after="100"/>
        <w:ind w:left="425" w:hanging="425"/>
      </w:pPr>
      <w:r>
        <w:rPr>
          <w:b/>
        </w:rPr>
        <w:t xml:space="preserve">4.3  </w:t>
      </w:r>
      <w:r>
        <w:t>Betaling geschiedt vóór de eerste dag van iedere maand op NL00 TEST 1101 1101 01 ten name van Lindenstaete Vastgoed B.V. onder vermelding van LV-26-118 en de betreffende maand.</w:t>
      </w:r>
    </w:p>
    <w:p>
      <w:pPr>
        <w:pStyle w:val="Heading1"/>
      </w:pPr>
      <w:r>
        <w:t>Artikel 5 Waarborgsom en eerste betaling</w:t>
      </w:r>
    </w:p>
    <w:p>
      <w:pPr>
        <w:spacing w:after="100"/>
        <w:ind w:left="425" w:hanging="425"/>
      </w:pPr>
      <w:r>
        <w:rPr>
          <w:b/>
        </w:rPr>
        <w:t xml:space="preserve">5.1  </w:t>
      </w:r>
      <w:r>
        <w:t>De waarborgsom bedraagt € 3.700,00. Voor 10 december 2026 betaalt huurder tevens het naar rato berekende bedrag van € 1.129,68 voor de periode van 15 tot en met 31 december 2026.</w:t>
      </w:r>
    </w:p>
    <w:p>
      <w:pPr>
        <w:spacing w:after="100"/>
        <w:ind w:left="425" w:hanging="425"/>
      </w:pPr>
      <w:r>
        <w:rPr>
          <w:b/>
        </w:rPr>
        <w:t xml:space="preserve">5.2  </w:t>
      </w:r>
      <w:r>
        <w:t>Over de waarborgsom wordt geen rente vergoed. Verhuurder verstrekt bij een eventuele inhouding een schriftelijke specificatie van de vordering en de daarop betrekking hebbende bewijsstukken.</w:t>
      </w:r>
    </w:p>
    <w:p>
      <w:pPr>
        <w:pStyle w:val="Heading1"/>
      </w:pPr>
      <w:r>
        <w:t>Artikel 6 Huurprijsaanpassing</w:t>
      </w:r>
    </w:p>
    <w:p>
      <w:pPr>
        <w:spacing w:after="100"/>
        <w:ind w:left="425" w:hanging="425"/>
      </w:pPr>
      <w:r>
        <w:rPr>
          <w:b/>
        </w:rPr>
        <w:t xml:space="preserve">6.1  </w:t>
      </w:r>
      <w:r>
        <w:t>De kale huurprijs kan jaarlijks voor het eerst per 1 juli 2027 worden gewijzigd overeenkomstig de wettelijke regeling die op dat moment op de woning van toepassing is.</w:t>
      </w:r>
    </w:p>
    <w:p>
      <w:pPr>
        <w:spacing w:after="100"/>
        <w:ind w:left="425" w:hanging="425"/>
      </w:pPr>
      <w:r>
        <w:rPr>
          <w:b/>
        </w:rPr>
        <w:t xml:space="preserve">6.2  </w:t>
      </w:r>
      <w:r>
        <w:t>Een wijziging van de vergoeding voor de parkeerplaats of het voorschot voor servicekosten wordt afzonderlijk gemotiveerd en staat los van de jaarlijkse aanpassing van de kale huurprijs.</w:t>
      </w:r>
    </w:p>
    <w:p>
      <w:pPr>
        <w:pStyle w:val="Heading1"/>
      </w:pPr>
      <w:r>
        <w:t>Artikel 7 Nutsvoorzieningen en diensten</w:t>
      </w:r>
    </w:p>
    <w:p>
      <w:pPr>
        <w:spacing w:after="100"/>
        <w:ind w:left="425" w:hanging="425"/>
      </w:pPr>
      <w:r>
        <w:rPr>
          <w:b/>
        </w:rPr>
        <w:t xml:space="preserve">7.1  </w:t>
      </w:r>
      <w:r>
        <w:t>Huurder sluit zelf leveringsovereenkomsten af voor gas, elektriciteit, water, internet en overige individuele voorzieningen en draagt zorg voor tijdige aan- en afmelding.</w:t>
      </w:r>
    </w:p>
    <w:p>
      <w:pPr>
        <w:spacing w:after="100"/>
        <w:ind w:left="425" w:hanging="425"/>
      </w:pPr>
      <w:r>
        <w:rPr>
          <w:b/>
        </w:rPr>
        <w:t xml:space="preserve">7.2  </w:t>
      </w:r>
      <w:r>
        <w:t>Verhuurder verstrekt jaarlijks een afrekening van servicekosten. Huurder kan binnen een redelijke termijn inzage vragen in de onderliggende stukken voor zover die op het gehuurde betrekking hebben.</w:t>
      </w:r>
    </w:p>
    <w:p>
      <w:r>
        <w:br w:type="page"/>
      </w:r>
    </w:p>
    <w:p>
      <w:pPr>
        <w:pStyle w:val="Heading1"/>
      </w:pPr>
      <w:r>
        <w:t>Artikel 8 Gebruik en zorgplicht</w:t>
      </w:r>
    </w:p>
    <w:p>
      <w:pPr>
        <w:spacing w:after="100"/>
        <w:ind w:left="425" w:hanging="425"/>
      </w:pPr>
      <w:r>
        <w:rPr>
          <w:b/>
        </w:rPr>
        <w:t xml:space="preserve">8.1  </w:t>
      </w:r>
      <w:r>
        <w:t>Huurder gebruikt het gehuurde zorgvuldig, houdt tuin en erf ordelijk en voorkomt dat door zijn handelen of nalaten schade, gevaar of hinder ontstaat.</w:t>
      </w:r>
    </w:p>
    <w:p>
      <w:pPr>
        <w:spacing w:after="100"/>
        <w:ind w:left="425" w:hanging="425"/>
      </w:pPr>
      <w:r>
        <w:rPr>
          <w:b/>
        </w:rPr>
        <w:t xml:space="preserve">8.2  </w:t>
      </w:r>
      <w:r>
        <w:t>Huurder houdt goten van de berging, afvoerputten op het terras en ventilatieroosters vrij. Hij meldt verzakking, lekkage, houtrot en andere gebreken onmiddellijk.</w:t>
      </w:r>
    </w:p>
    <w:p>
      <w:pPr>
        <w:spacing w:after="100"/>
        <w:ind w:left="425" w:hanging="425"/>
      </w:pPr>
      <w:r>
        <w:rPr>
          <w:b/>
        </w:rPr>
        <w:t xml:space="preserve">8.3  </w:t>
      </w:r>
      <w:r>
        <w:t>Het opslaan van brandgevaarlijke stoffen, accu’s voor bedrijfsmatig gebruik of goederen die ongebruikelijke belasting van vloeren veroorzaken, is niet toegestaan.</w:t>
      </w:r>
    </w:p>
    <w:p>
      <w:pPr>
        <w:pStyle w:val="Heading1"/>
      </w:pPr>
      <w:r>
        <w:t>Artikel 9 Onderhoud en werkzaamheden</w:t>
      </w:r>
    </w:p>
    <w:p>
      <w:pPr>
        <w:spacing w:after="100"/>
        <w:ind w:left="425" w:hanging="425"/>
      </w:pPr>
      <w:r>
        <w:rPr>
          <w:b/>
        </w:rPr>
        <w:t xml:space="preserve">9.1  </w:t>
      </w:r>
      <w:r>
        <w:t>Kleine herstellingen komen voor rekening van huurder. Verhuurder voert het overige noodzakelijke onderhoud uit binnen een redelijke termijn, rekening houdend met aard en urgentie van het gebrek.</w:t>
      </w:r>
    </w:p>
    <w:p>
      <w:pPr>
        <w:spacing w:after="100"/>
        <w:ind w:left="425" w:hanging="425"/>
      </w:pPr>
      <w:r>
        <w:rPr>
          <w:b/>
        </w:rPr>
        <w:t xml:space="preserve">9.2  </w:t>
      </w:r>
      <w:r>
        <w:t>Huurder verleent na tijdige aankondiging toegang voor inspectie, onderhoud, taxatie en wettelijke keuringen. Bij acuut gevaar of een ernstige lekkage mag verhuurder zonder voorafgaande afspraak maatregelen nemen.</w:t>
      </w:r>
    </w:p>
    <w:p>
      <w:pPr>
        <w:pStyle w:val="Heading1"/>
      </w:pPr>
      <w:r>
        <w:t>Artikel 10 Wijzigingen en toevoegingen</w:t>
      </w:r>
    </w:p>
    <w:p>
      <w:pPr>
        <w:spacing w:after="100"/>
        <w:ind w:left="425" w:hanging="425"/>
      </w:pPr>
      <w:r>
        <w:rPr>
          <w:b/>
        </w:rPr>
        <w:t xml:space="preserve">10.1  </w:t>
      </w:r>
      <w:r>
        <w:t>Voor wijzigingen aan constructie, installaties, gevel, dak, schutting of vaste keuken- en badkameronderdelen is voorafgaande schriftelijke toestemming vereist.</w:t>
      </w:r>
    </w:p>
    <w:p>
      <w:pPr>
        <w:spacing w:after="100"/>
        <w:ind w:left="425" w:hanging="425"/>
      </w:pPr>
      <w:r>
        <w:rPr>
          <w:b/>
        </w:rPr>
        <w:t xml:space="preserve">10.2  </w:t>
      </w:r>
      <w:r>
        <w:t>Een laadpunt, zonnepanelen, buitenunit van een warmtepomp of airconditioning en vaste zonwering mogen uitsluitend door een erkend installateur en na schriftelijke goedkeuring worden aangebracht.</w:t>
      </w:r>
    </w:p>
    <w:p>
      <w:pPr>
        <w:pStyle w:val="Heading1"/>
      </w:pPr>
      <w:r>
        <w:t>Artikel 11 Verzekering en aansprakelijkheid</w:t>
      </w:r>
    </w:p>
    <w:p>
      <w:pPr>
        <w:spacing w:after="100"/>
        <w:ind w:left="425" w:hanging="425"/>
      </w:pPr>
      <w:r>
        <w:rPr>
          <w:b/>
        </w:rPr>
        <w:t xml:space="preserve">11.1  </w:t>
      </w:r>
      <w:r>
        <w:t>Huurder sluit een gebruikelijke inboedelverzekering en aansprakelijkheidsverzekering af. Verhuurder is niet aansprakelijk voor schade aan zaken van huurder, tenzij die schade het gevolg is van een aan verhuurder toerekenbare tekortkoming.</w:t>
      </w:r>
    </w:p>
    <w:p>
      <w:pPr>
        <w:spacing w:after="100"/>
        <w:ind w:left="425" w:hanging="425"/>
      </w:pPr>
      <w:r>
        <w:rPr>
          <w:b/>
        </w:rPr>
        <w:t xml:space="preserve">11.2  </w:t>
      </w:r>
      <w:r>
        <w:t>Huurder is aansprakelijk voor schade die door hem, zijn huisgenoten, bezoekers of dieren aan het gehuurde wordt veroorzaakt, behoudens normale slijtage en schade die hem niet kan worden toegerekend.</w:t>
      </w:r>
    </w:p>
    <w:p>
      <w:r>
        <w:br w:type="page"/>
      </w:r>
    </w:p>
    <w:p>
      <w:pPr>
        <w:pStyle w:val="Heading1"/>
      </w:pPr>
      <w:r>
        <w:t>Artikel 12 Overlast en huisdieren</w:t>
      </w:r>
    </w:p>
    <w:p>
      <w:pPr>
        <w:spacing w:after="100"/>
        <w:ind w:left="425" w:hanging="425"/>
      </w:pPr>
      <w:r>
        <w:rPr>
          <w:b/>
        </w:rPr>
        <w:t xml:space="preserve">12.1  </w:t>
      </w:r>
      <w:r>
        <w:t>Huurder voorkomt geluid-, geur- en parkeeroverlast. Het gebruik van tuinmachines is op werkdagen toegestaan tussen 09.00 en 20.00 uur en op zon- en feestdagen tussen 11.00 en 18.00 uur.</w:t>
      </w:r>
    </w:p>
    <w:p>
      <w:pPr>
        <w:spacing w:after="100"/>
        <w:ind w:left="425" w:hanging="425"/>
      </w:pPr>
      <w:r>
        <w:rPr>
          <w:b/>
        </w:rPr>
        <w:t xml:space="preserve">12.2  </w:t>
      </w:r>
      <w:r>
        <w:t>Het houden van één middelgrote hond is toegestaan. Huurder voorkomt vervuiling van het achterterrein en herstelt door het dier veroorzaakte schade.</w:t>
      </w:r>
    </w:p>
    <w:p>
      <w:pPr>
        <w:pStyle w:val="Heading1"/>
      </w:pPr>
      <w:r>
        <w:t>Artikel 13 Belastingen en publiekrechtelijke lasten</w:t>
      </w:r>
    </w:p>
    <w:p>
      <w:pPr>
        <w:spacing w:after="100"/>
        <w:ind w:left="425" w:hanging="425"/>
      </w:pPr>
      <w:r>
        <w:rPr>
          <w:b/>
        </w:rPr>
        <w:t xml:space="preserve">13.1  </w:t>
      </w:r>
      <w:r>
        <w:t>Gebruikersheffingen en belastingen die verband houden met de feitelijke bewoning zijn voor rekening van huurder voor zover de wet dat toestaat. Eigenaarslasten blijven voor rekening van verhuurder.</w:t>
      </w:r>
    </w:p>
    <w:p>
      <w:pPr>
        <w:pStyle w:val="Heading1"/>
      </w:pPr>
      <w:r>
        <w:t>Artikel 14 Beheer</w:t>
      </w:r>
    </w:p>
    <w:p>
      <w:pPr>
        <w:spacing w:after="100"/>
        <w:ind w:left="425" w:hanging="425"/>
      </w:pPr>
      <w:r>
        <w:rPr>
          <w:b/>
        </w:rPr>
        <w:t xml:space="preserve">14.1  </w:t>
      </w:r>
      <w:r>
        <w:t>Als beheerder treedt op Maasstad Woonbeheer B.V., Westblaak 88, 3012 KM Rotterdam, bereikbaar via beheer@maasstad.example.test en 010 000 1199. Betalingsafspraken kunnen uitsluitend schriftelijk door verhuurder worden bevestigd.</w:t>
      </w:r>
    </w:p>
    <w:p>
      <w:pPr>
        <w:pStyle w:val="Heading1"/>
      </w:pPr>
      <w:r>
        <w:t>Artikel 15 Beëindiging en oplevering</w:t>
      </w:r>
    </w:p>
    <w:p>
      <w:pPr>
        <w:spacing w:after="100"/>
        <w:ind w:left="425" w:hanging="425"/>
      </w:pPr>
      <w:r>
        <w:rPr>
          <w:b/>
        </w:rPr>
        <w:t xml:space="preserve">15.1  </w:t>
      </w:r>
      <w:r>
        <w:t>Opzegging geschiedt schriftelijk. Huurder verleent gedurende de laatste drie maanden van de huur op redelijke tijdstippen medewerking aan bezichtiging door kandidaat-huurders of kopers.</w:t>
      </w:r>
    </w:p>
    <w:p>
      <w:pPr>
        <w:spacing w:after="100"/>
        <w:ind w:left="425" w:hanging="425"/>
      </w:pPr>
      <w:r>
        <w:rPr>
          <w:b/>
        </w:rPr>
        <w:t xml:space="preserve">15.2  </w:t>
      </w:r>
      <w:r>
        <w:t>Voor het einde van de huur vinden een voorinspectie en eindinspectie plaats. Huurder levert de woning, tuin, berging en parkeerplaats schoon, vrij van zaken en met alle verstrekte toegangsmiddelen op.</w:t>
      </w:r>
    </w:p>
    <w:p>
      <w:pPr>
        <w:spacing w:after="100"/>
        <w:ind w:left="425" w:hanging="425"/>
      </w:pPr>
      <w:r>
        <w:rPr>
          <w:b/>
        </w:rPr>
        <w:t xml:space="preserve">15.3  </w:t>
      </w:r>
      <w:r>
        <w:t>Achtergelaten zaken mogen, na een redelijke laatste termijn voor verwijdering, op kosten van huurder worden afgevoerd, tenzij duidelijk sprake is van afval of zaken zonder noemenswaardige waarde.</w:t>
      </w:r>
    </w:p>
    <w:p>
      <w:pPr>
        <w:pStyle w:val="Heading1"/>
      </w:pPr>
      <w:r>
        <w:t>Artikel 16 Hoofdelijkheid</w:t>
      </w:r>
    </w:p>
    <w:p>
      <w:pPr>
        <w:spacing w:after="100"/>
        <w:ind w:left="425" w:hanging="425"/>
      </w:pPr>
      <w:r>
        <w:rPr>
          <w:b/>
        </w:rPr>
        <w:t xml:space="preserve">16.1  </w:t>
      </w:r>
      <w:r>
        <w:t>Beide huurders zijn hoofdelijk aansprakelijk voor alle verplichtingen uit deze overeenkomst. Een opzegging door één huurder bevrijdt die huurder niet zonder schriftelijke instemming van verhuurder en de andere huurder.</w:t>
      </w:r>
    </w:p>
    <w:p>
      <w:r>
        <w:br w:type="page"/>
      </w:r>
    </w:p>
    <w:p>
      <w:pPr>
        <w:pStyle w:val="Heading1"/>
        <w:jc w:val="center"/>
      </w:pPr>
      <w:r>
        <w:t>Bijzondere bepalingen</w:t>
      </w:r>
    </w:p>
    <w:p>
      <w:pPr>
        <w:spacing w:after="100"/>
        <w:ind w:left="425" w:hanging="425"/>
      </w:pPr>
      <w:r>
        <w:rPr>
          <w:b/>
        </w:rPr>
        <w:t xml:space="preserve">17.1  </w:t>
      </w:r>
      <w:r>
        <w:t>De houten vloer in de woonkamer, de vaste kasten op zolder en de pergola in de achtertuin behoren tot het gehuurde en worden door huurder zorgvuldig gebruikt.</w:t>
      </w:r>
    </w:p>
    <w:p>
      <w:pPr>
        <w:spacing w:after="100"/>
        <w:ind w:left="425" w:hanging="425"/>
      </w:pPr>
      <w:r>
        <w:rPr>
          <w:b/>
        </w:rPr>
        <w:t xml:space="preserve">17.2  </w:t>
      </w:r>
      <w:r>
        <w:t>De tuin wordt niet grotendeels verhard. Bestaande bomen en hagen worden behouden; ingrijpende snoei of verwijdering vindt alleen plaats na overleg met verhuurder.</w:t>
      </w:r>
    </w:p>
    <w:p>
      <w:pPr>
        <w:spacing w:after="100"/>
        <w:ind w:left="425" w:hanging="425"/>
      </w:pPr>
      <w:r>
        <w:rPr>
          <w:b/>
        </w:rPr>
        <w:t xml:space="preserve">17.3  </w:t>
      </w:r>
      <w:r>
        <w:t>De elektrische toegangspoort wordt bediend met twee afstandsbedieningen. Bij verlies betaalt huurder de aantoonbare vervangingskosten.</w:t>
      </w:r>
    </w:p>
    <w:p>
      <w:pPr>
        <w:spacing w:after="100"/>
        <w:ind w:left="425" w:hanging="425"/>
      </w:pPr>
      <w:r>
        <w:rPr>
          <w:b/>
        </w:rPr>
        <w:t xml:space="preserve">17.4  </w:t>
      </w:r>
      <w:r>
        <w:t>Roken in de woning is niet toegestaan. Roken in de tuin is toegestaan mits geen hinder voor omwonenden ontstaat en afval zorgvuldig wordt verwijderd.</w:t>
      </w:r>
    </w:p>
    <w:p>
      <w:pPr>
        <w:spacing w:after="100"/>
        <w:ind w:left="425" w:hanging="425"/>
      </w:pPr>
      <w:r>
        <w:rPr>
          <w:b/>
        </w:rPr>
        <w:t xml:space="preserve">17.5  </w:t>
      </w:r>
      <w:r>
        <w:t>Partijen verklaren dat huurder het energielabel, de WWS-puntentelling, de opnamestaat, de informatie goed verhuurderschap en de algemene bepalingen heeft ontvangen.</w:t>
      </w:r>
    </w:p>
    <w:p>
      <w:pPr>
        <w:pStyle w:val="Heading1"/>
      </w:pPr>
      <w:r>
        <w:t>Artikel 18 Slot</w:t>
      </w:r>
    </w:p>
    <w:p>
      <w:pPr>
        <w:spacing w:after="100"/>
        <w:ind w:left="425" w:hanging="425"/>
      </w:pPr>
      <w:r>
        <w:rPr>
          <w:b/>
        </w:rPr>
        <w:t xml:space="preserve">18.1  </w:t>
      </w:r>
      <w:r>
        <w:t>Op deze overeenkomst is Nederlands recht van toepassing. Partijen proberen een geschil eerst in overleg op te lossen, zonder dat dit hun toegang tot Huurcommissie of bevoegde rechter beperkt.</w:t>
      </w:r>
    </w:p>
    <w:p>
      <w:pPr>
        <w:spacing w:after="100"/>
        <w:ind w:left="425" w:hanging="425"/>
      </w:pPr>
      <w:r>
        <w:rPr>
          <w:b/>
        </w:rPr>
        <w:t xml:space="preserve">18.2  </w:t>
      </w:r>
      <w:r>
        <w:t>Aanvullingen en wijzigingen worden schriftelijk vastgelegd. De bijlagen vormen een integraal onderdeel van de overeenkomst.</w:t>
      </w:r>
    </w:p>
    <w:p>
      <w:pPr>
        <w:pStyle w:val="Heading1"/>
        <w:jc w:val="center"/>
      </w:pPr>
      <w:r>
        <w:t>Ondertekening</w:t>
      </w:r>
    </w:p>
    <w:tbl>
      <w:tblPr>
        <w:tblW w:type="auto" w:w="0"/>
        <w:jc w:val="center"/>
        <w:tblLook w:firstColumn="1" w:firstRow="1" w:lastColumn="0" w:lastRow="0" w:noHBand="0" w:noVBand="1" w:val="04A0"/>
      </w:tblPr>
      <w:tblGrid>
        <w:gridCol w:w="4824"/>
        <w:gridCol w:w="4824"/>
      </w:tblGrid>
      <w:tr>
        <w:trPr>
          <w:cantSplit/>
        </w:trPr>
        <w:tc>
          <w:tcPr>
            <w:tcW w:type="dxa" w:w="4592"/>
            <w:tcBorders>
              <w:top w:val="single" w:sz="6" w:color="D9D9D9"/>
              <w:left w:val="single" w:sz="6" w:color="D9D9D9"/>
              <w:bottom w:val="single" w:sz="6" w:color="D9D9D9"/>
              <w:right w:val="single" w:sz="6" w:color="D9D9D9"/>
            </w:tcBorders>
          </w:tcPr>
          <w:p>
            <w:pPr>
              <w:spacing w:after="40"/>
            </w:pPr>
            <w:r>
              <w:rPr>
                <w:rFonts w:ascii="Times New Roman" w:hAnsi="Times New Roman"/>
                <w:b/>
                <w:sz w:val="19"/>
              </w:rPr>
              <w:t>Verhuurder</w:t>
            </w:r>
          </w:p>
        </w:tc>
        <w:tc>
          <w:tcPr>
            <w:tcW w:type="dxa" w:w="4592"/>
            <w:tcBorders>
              <w:top w:val="single" w:sz="6" w:color="D9D9D9"/>
              <w:left w:val="single" w:sz="6" w:color="D9D9D9"/>
              <w:bottom w:val="single" w:sz="6" w:color="D9D9D9"/>
              <w:right w:val="single" w:sz="6" w:color="D9D9D9"/>
            </w:tcBorders>
          </w:tcPr>
          <w:p>
            <w:pPr>
              <w:spacing w:after="40"/>
            </w:pPr>
            <w:r>
              <w:rPr>
                <w:rFonts w:ascii="Times New Roman" w:hAnsi="Times New Roman"/>
                <w:b/>
                <w:sz w:val="19"/>
              </w:rPr>
              <w:t>Huurder</w:t>
            </w:r>
          </w:p>
        </w:tc>
      </w:tr>
      <w:tr>
        <w:trPr>
          <w:cantSplit/>
        </w:trPr>
        <w:tc>
          <w:tcPr>
            <w:tcW w:type="dxa" w:w="4592"/>
            <w:tcBorders>
              <w:top w:val="single" w:sz="6" w:color="D9D9D9"/>
              <w:left w:val="single" w:sz="6" w:color="D9D9D9"/>
              <w:bottom w:val="single" w:sz="6" w:color="D9D9D9"/>
              <w:right w:val="single" w:sz="6" w:color="D9D9D9"/>
            </w:tcBorders>
          </w:tcPr>
          <w:p>
            <w:pPr>
              <w:spacing w:after="40"/>
            </w:pPr>
            <w:r>
              <w:rPr>
                <w:rFonts w:ascii="Times New Roman" w:hAnsi="Times New Roman"/>
                <w:b w:val="0"/>
                <w:sz w:val="19"/>
              </w:rPr>
              <w:t>Plaats en datum: Rotterdam, 26 november 2026</w:t>
            </w:r>
          </w:p>
        </w:tc>
        <w:tc>
          <w:tcPr>
            <w:tcW w:type="dxa" w:w="4592"/>
            <w:tcBorders>
              <w:top w:val="single" w:sz="6" w:color="D9D9D9"/>
              <w:left w:val="single" w:sz="6" w:color="D9D9D9"/>
              <w:bottom w:val="single" w:sz="6" w:color="D9D9D9"/>
              <w:right w:val="single" w:sz="6" w:color="D9D9D9"/>
            </w:tcBorders>
          </w:tcPr>
          <w:p>
            <w:pPr>
              <w:spacing w:after="40"/>
            </w:pPr>
            <w:r>
              <w:rPr>
                <w:rFonts w:ascii="Times New Roman" w:hAnsi="Times New Roman"/>
                <w:b w:val="0"/>
                <w:sz w:val="19"/>
              </w:rPr>
              <w:t>Plaats en datum: Rotterdam, 26 november 2026</w:t>
            </w:r>
          </w:p>
        </w:tc>
      </w:tr>
      <w:tr>
        <w:trPr>
          <w:cantSplit/>
        </w:trPr>
        <w:tc>
          <w:tcPr>
            <w:tcW w:type="dxa" w:w="4592"/>
            <w:tcBorders>
              <w:top w:val="single" w:sz="6" w:color="D9D9D9"/>
              <w:left w:val="single" w:sz="6" w:color="D9D9D9"/>
              <w:bottom w:val="single" w:sz="6" w:color="D9D9D9"/>
              <w:right w:val="single" w:sz="6" w:color="D9D9D9"/>
            </w:tcBorders>
          </w:tcPr>
          <w:p>
            <w:pPr>
              <w:spacing w:after="40"/>
            </w:pPr>
            <w:r>
              <w:rPr>
                <w:rFonts w:ascii="Times New Roman" w:hAnsi="Times New Roman"/>
                <w:b w:val="0"/>
                <w:sz w:val="19"/>
              </w:rPr>
              <w:t>Naam en handtekening:</w:t>
              <w:br/>
              <w:t>/s/ J.F. van Leeuwen namens Lindenstaete Vastgoed B.V.</w:t>
            </w:r>
          </w:p>
        </w:tc>
        <w:tc>
          <w:tcPr>
            <w:tcW w:type="dxa" w:w="4592"/>
            <w:tcBorders>
              <w:top w:val="single" w:sz="6" w:color="D9D9D9"/>
              <w:left w:val="single" w:sz="6" w:color="D9D9D9"/>
              <w:bottom w:val="single" w:sz="6" w:color="D9D9D9"/>
              <w:right w:val="single" w:sz="6" w:color="D9D9D9"/>
            </w:tcBorders>
          </w:tcPr>
          <w:p>
            <w:pPr>
              <w:spacing w:after="40"/>
            </w:pPr>
            <w:r>
              <w:rPr>
                <w:rFonts w:ascii="Times New Roman" w:hAnsi="Times New Roman"/>
                <w:b w:val="0"/>
                <w:sz w:val="19"/>
              </w:rPr>
              <w:t>Naam en handtekening:</w:t>
              <w:br/>
              <w:t>/s/ Yasmin Aksoy en Bram Jansen</w:t>
            </w:r>
          </w:p>
        </w:tc>
      </w:tr>
    </w:tbl>
    <w:p>
      <w:pPr>
        <w:pStyle w:val="Heading2"/>
      </w:pPr>
      <w:r>
        <w:t>Bijlagen</w:t>
      </w:r>
    </w:p>
    <w:p>
      <w:pPr>
        <w:spacing w:after="100"/>
      </w:pPr>
      <w:r>
        <w:rPr>
          <w:i w:val="0"/>
        </w:rPr>
        <w:t>A. Opnamestaat en fotobijlage</w:t>
        <w:br/>
        <w:t>B. Energielabel B</w:t>
        <w:br/>
        <w:t>C. WWS-puntentelling van 231 punten</w:t>
        <w:br/>
        <w:t>D. Servicekostenspecificatie</w:t>
        <w:br/>
        <w:t>E. Algemene bepalingen</w:t>
        <w:br/>
        <w:t>F. Informatie Wet goed verhuurderschap</w:t>
      </w:r>
    </w:p>
    <w:sectPr w:rsidR="00FC693F" w:rsidRPr="0006063C" w:rsidSect="00034616">
      <w:headerReference w:type="default" r:id="rId9"/>
      <w:footerReference w:type="default" r:id="rId10"/>
      <w:pgSz w:w="12240" w:h="15840"/>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5"/>
      </w:rPr>
      <w:t xml:space="preserve">FICTIEVE TESTGEGEVENS   Niet voor juridisch gebruik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F5F5F"/>
        <w:sz w:val="15"/>
      </w:rPr>
      <w:t>Huurovereenkomst woonruimte   referentie LV 26 118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 formeel particulier huurcontract ingevuld</dc:title>
  <dc:subject>Ingevulde huurovereenkomst woonruimte</dc:subject>
  <dc:creator>Fictieve testdataset</dc:creator>
  <cp:keywords>huurcontract, testgegevens, traditioneel model</cp:keywords>
  <dc:description>generated by python-docx</dc:description>
  <cp:lastModifiedBy/>
  <cp:revision>1</cp:revision>
  <dcterms:created xsi:type="dcterms:W3CDTF">2013-12-23T23:15:00Z</dcterms:created>
  <dcterms:modified xsi:type="dcterms:W3CDTF">2013-12-23T23:15:00Z</dcterms:modified>
  <cp:category/>
</cp:coreProperties>
</file>