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2"/>
        </w:rPr>
        <w:t>CHECKPOINT 2 — EVOLUIR, DESAFIAR E DESBLOQUEAR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8"/>
              </w:rPr>
              <w:t>Equipe: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Smart Fleet Floripa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Desafio: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Desafio 13 — Gestão Inteligente da Frota Municipal (Florianópolis)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Líder: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Rafael Ventura  |  Nº de integrantes: 5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Integrantes: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Rafael Ventura, Mauricio Telles Silva Bichels, Julio Barbosa de Souza, Michael Torres Faleiro, João Victor Duarte</w:t>
            </w:r>
          </w:p>
        </w:tc>
      </w:tr>
    </w:tbl>
    <w:p>
      <w:pPr>
        <w:spacing w:before="80" w:after="120"/>
      </w:pPr>
      <w:r>
        <w:rPr>
          <w:b/>
          <w:sz w:val="20"/>
        </w:rPr>
        <w:t xml:space="preserve">Situação no CP1: </w:t>
      </w:r>
      <w:r>
        <w:rPr>
          <w:sz w:val="20"/>
        </w:rPr>
        <w:t>Apta</w:t>
      </w:r>
    </w:p>
    <w:p>
      <w:pPr>
        <w:pStyle w:val="Heading1"/>
        <w:spacing w:before="160" w:after="60"/>
      </w:pPr>
      <w:r>
        <w:rPr>
          <w:sz w:val="28"/>
        </w:rPr>
        <w:t>1. Dossiê de Evolução Técnica</w:t>
      </w:r>
    </w:p>
    <w:p>
      <w:pPr>
        <w:spacing w:before="80" w:after="40"/>
      </w:pPr>
      <w:r>
        <w:rPr>
          <w:b/>
          <w:sz w:val="20"/>
        </w:rPr>
        <w:t>O que já foi construído</w:t>
      </w:r>
    </w:p>
    <w:p>
      <w:pPr>
        <w:spacing w:after="80"/>
      </w:pPr>
      <w:r>
        <w:rPr>
          <w:sz w:val="20"/>
        </w:rPr>
        <w:t>Fundação: roadmap em 7 especificações (specs/001–007) com dependências mapeadas, 36 tasks no kanban por papel (dados, backend, frontend, docs). Arquitetura técnica v2 com 4 camadas, ERD de 8 tabelas, stack decidida (D1–D8) e 3 ADRs formais. Constitution com princípios inegociáveis + gitflow com revisão obrigatória.</w:t>
      </w:r>
    </w:p>
    <w:p>
      <w:pPr>
        <w:spacing w:after="80"/>
      </w:pPr>
      <w:r>
        <w:rPr>
          <w:b/>
          <w:sz w:val="20"/>
        </w:rPr>
        <w:t xml:space="preserve">Software — Fase 1 concluída (spec 001): </w:t>
      </w:r>
      <w:r>
        <w:rPr>
          <w:sz w:val="20"/>
        </w:rPr>
        <w:t>gerador_dados.py determinístico (semente + data-âncora) produz as 4 fontes simuladas, cada uma num formato diferente, com inconsistências propositais documentadas: abastecimento em CSV (~1.600 registros), multas em API REST fake (FastAPI, 100 multas), manutenção em XLSX 3 abas (~250 registros), licenciamento em SQLite legado. Cenário determinístico da demo embutido: veículo A a ~600 km do limite (gatilho por km ao vivo) e veículo B com antecedência de tempo já cruzada. 10 testes automatizados passando.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4735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combin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735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66666"/>
          <w:sz w:val="16"/>
        </w:rPr>
        <w:t>Evidência: endpoint /multas retornando JSON (placas em minúsculas, CNH sintética — LGPD) | 4 datasets em data/seeds/ | 10 testes automatizados passando</w:t>
      </w:r>
    </w:p>
    <w:p>
      <w:pPr>
        <w:spacing w:before="80" w:after="40"/>
      </w:pPr>
      <w:r>
        <w:rPr>
          <w:b/>
          <w:sz w:val="20"/>
        </w:rPr>
        <w:t>Desafios técnicos superados</w:t>
      </w:r>
    </w:p>
    <w:p>
      <w:pPr>
        <w:spacing w:after="80"/>
      </w:pPr>
      <w:r>
        <w:rPr>
          <w:sz w:val="20"/>
        </w:rPr>
        <w:t>Não recebemos dados reais nem simulados da frota municipal, e não temos especialista em dados de frota no time. Dados simulados "genéricos demais" contaminariam pipeline, motor e dashboard — então gastamos tempo significativo em pesquisa dirigida, estudando sistemas análogos (cartão-combustível, planilhas de manutenção, integrações DETRAN), projetos e aplicativos de gestão de frotas para extrair faixas realistas de km/mês por tipo de veículo, consumo, valores de multa, calendário de licenciamento e planos de manutenção. Dessa pesquisa saíram três decisões formais (ADRs) que destravaram o caminho: ADR-001 — a chave de reconciliação entre as 4 fontes é a placa, mas a frota real mistura os dois formatos brasileiros (antigo AAA9999 e Mercosul AAA9A99); sem aceitar ambos, o cruzamento falhava e nenhuma fonte conversava com a outra. ADR-002 — sem persistir o km do hodômetro no abastecimento, não existe série temporal de km; isso bloqueava o gatilho por quilometragem (spec 004) e o custo/km do painel de custos (spec 006). ADR-003 — sem calibrar o realismo das fontes simuladas (faixas de km/mês por tipo, tabela CTB de multas, calendário DETRAN-SC, razão corretiva/preventiva 3–5×), a PoC não seria crível para a banca. Cada ADR nasceu de um problema concreto que travava o time, foi registrada formalmente em docs/decisoes/ e validada por teste automatizado.</w:t>
      </w:r>
    </w:p>
    <w:p>
      <w:pPr>
        <w:spacing w:before="80" w:after="40"/>
      </w:pPr>
      <w:r>
        <w:rPr>
          <w:b/>
          <w:sz w:val="20"/>
        </w:rPr>
        <w:t>Gargalos atuais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Falta de especialista em dados/modelagem — </w:t>
      </w:r>
      <w:r>
        <w:rPr>
          <w:sz w:val="20"/>
        </w:rPr>
        <w:t>specs 002 (banco) e 003 (pipeline ETL) são bloqueantes para backend e frontend, e avançam mais devagar por curva de aprendizado.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Stack do dashboard não ratificada — </w:t>
      </w:r>
      <w:r>
        <w:rPr>
          <w:sz w:val="20"/>
        </w:rPr>
        <w:t>arquitetura aponta Streamlit (D3), mas frontend ainda precisa validar antes de iniciar a spec 005.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LGPD/anonimização em pesquisa — </w:t>
      </w:r>
      <w:r>
        <w:rPr>
          <w:sz w:val="20"/>
        </w:rPr>
        <w:t>pseudonimização na origem já implementada, mas o documento formal de conformidade depende de estudo em andamento.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Tempo gasto na fundação — </w:t>
      </w:r>
      <w:r>
        <w:rPr>
          <w:sz w:val="20"/>
        </w:rPr>
        <w:t>investimos mais que o planejado em pesquisa e arquitetura; avaliamos que foi o custo certo para não construir sobre base frágil.</w:t>
      </w:r>
    </w:p>
    <w:p>
      <w:pPr>
        <w:spacing w:before="80" w:after="40"/>
      </w:pPr>
      <w:r>
        <w:rPr>
          <w:b/>
          <w:sz w:val="20"/>
        </w:rPr>
        <w:t>Impedimentos e Regularização do CP1</w:t>
      </w:r>
    </w:p>
    <w:p>
      <w:pPr>
        <w:spacing w:after="80"/>
      </w:pPr>
      <w:r>
        <w:rPr>
          <w:sz w:val="20"/>
        </w:rPr>
        <w:t>CP1: Apta, sem ressalvas ou pendências.</w:t>
      </w:r>
    </w:p>
    <w:p>
      <w:pPr>
        <w:spacing w:after="80"/>
      </w:pPr>
      <w:r>
        <w:rPr>
          <w:b/>
          <w:sz w:val="20"/>
        </w:rPr>
        <w:t xml:space="preserve">Pedidos à mentoria: </w:t>
      </w:r>
      <w:r>
        <w:rPr>
          <w:sz w:val="20"/>
        </w:rPr>
        <w:t>(1) revisão rápida do ERD e das regras de qualidade do pipeline para destravar specs 002/003; (2) orientação sobre anonimização/pseudonimização LGPD em dados de servidores públicos.</w:t>
      </w:r>
    </w:p>
    <w:p>
      <w:pPr>
        <w:pStyle w:val="Heading1"/>
        <w:spacing w:before="160" w:after="60"/>
      </w:pPr>
      <w:r>
        <w:rPr>
          <w:sz w:val="28"/>
        </w:rPr>
        <w:t>2. Atualização da Arquitetura e Fluxo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4055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h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055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66666"/>
          <w:sz w:val="16"/>
        </w:rPr>
        <w:t>Arquitetura em 4 camadas — componentes conversam só via banco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6999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66666"/>
          <w:sz w:val="16"/>
        </w:rPr>
        <w:t>ERD — 8 tabelas, placa canônica como chave de reconciliação</w:t>
      </w:r>
    </w:p>
    <w:p>
      <w:pPr>
        <w:spacing w:after="80"/>
      </w:pPr>
      <w:r>
        <w:rPr>
          <w:sz w:val="20"/>
        </w:rPr>
        <w:t>A solução segue 4 camadas (ingestão → armazenamento → processamento → apresentação); os componentes conversam só via banco — dashboard nunca lê arquivo-fonte, motor nunca lê o pipeline. Fluxo do usuário: gestor abre o painel → vê frota com semáforo de urgência → alerta preventivo aparece sozinho (ciclo agendado de 1–2 min na demo) antes do vencimento. Mudanças desde o CP1 (v1 → v2, em ADRs): placa canônica aceita os dois formatos brasileiros (ADR-001); km_hodometro persistido no abastecimento, criando a série temporal de km (ADR-002); categoria preventiva/corretiva na manutenção (ADR-003). Estado: fontes prontas (Fase 1 ✅); banco e pipeline em construção; motor e dashboard na sequência.</w:t>
      </w:r>
    </w:p>
    <w:p>
      <w:pPr>
        <w:pStyle w:val="Heading1"/>
        <w:spacing w:before="160" w:after="60"/>
      </w:pPr>
      <w:r>
        <w:rPr>
          <w:sz w:val="28"/>
        </w:rPr>
        <w:t>3. Plano de Reta Final</w:t>
      </w:r>
    </w:p>
    <w:p>
      <w:pPr>
        <w:spacing w:after="80"/>
      </w:pPr>
      <w:r>
        <w:rPr>
          <w:b/>
          <w:sz w:val="20"/>
        </w:rPr>
        <w:t xml:space="preserve">Backlog restante (TRL 3): </w:t>
      </w:r>
      <w:r>
        <w:rPr>
          <w:sz w:val="20"/>
        </w:rPr>
        <w:t>modelagem do banco + migrations (spec 002) e pipeline ETL com log de qualidade e carga idempotente (spec 003) — bloqueantes, meta fim desta semana; motor de alertas por km/tempo com ciclo agendado (spec 004); dashboard com semáforo, alertas, toggle Gestor/Pública e auto-refresh (specs 005/006); Docker Compose, documento LGPD e ensaio da demo (spec 007).</w:t>
      </w:r>
    </w:p>
    <w:p>
      <w:pPr>
        <w:spacing w:after="80"/>
      </w:pPr>
      <w:r>
        <w:rPr>
          <w:b/>
          <w:sz w:val="20"/>
        </w:rPr>
        <w:t xml:space="preserve">Divisão: </w:t>
      </w:r>
      <w:r>
        <w:rPr>
          <w:sz w:val="20"/>
        </w:rPr>
        <w:t>dados → specs 002/003; backend → specs 002/004 + Docker; frontend → specs 005/006; docs → LGPD, impacto econômico, roteiro da demo.</w:t>
      </w:r>
    </w:p>
    <w:p>
      <w:pPr>
        <w:spacing w:after="80"/>
      </w:pPr>
      <w:r>
        <w:rPr>
          <w:b/>
          <w:sz w:val="20"/>
        </w:rPr>
        <w:t xml:space="preserve">Riscos e plano B: </w:t>
      </w:r>
      <w:r>
        <w:rPr>
          <w:sz w:val="20"/>
        </w:rPr>
        <w:t>(a) modelagem atrasar → congelar ERD v2 e ajustar via migration; (b) alerta ao vivo falhar → vídeo gravado do disparo; (c) stack do dashboard → default Streamlit (D3), sem reabrir após 17/07; (d) LGPD incompleta → pseudonimização já garantida na origem, documento mínimo com base legal por campo.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608"/>
          </w:tcPr>
          <w:p>
            <w:pPr>
              <w:spacing w:after="20" w:before="20"/>
            </w:pPr>
            <w:r>
              <w:rPr>
                <w:b/>
                <w:sz w:val="17"/>
              </w:rPr>
              <w:t>Tarefa Crítica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>
              <w:rPr>
                <w:b/>
                <w:sz w:val="17"/>
              </w:rPr>
              <w:t>Responsável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>
              <w:rPr>
                <w:b/>
                <w:sz w:val="17"/>
              </w:rPr>
              <w:t>Prazo Interno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4608"/>
          </w:tcPr>
          <w:p>
            <w:pPr>
              <w:spacing w:after="20" w:before="20"/>
            </w:pPr>
            <w:r>
              <w:rPr>
                <w:sz w:val="17"/>
              </w:rPr>
              <w:t>Spec 002 — modelo de dados + migrations + LIMIAR_CONFIG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>
              <w:rPr>
                <w:sz w:val="17"/>
              </w:rPr>
              <w:t>Dados + Backend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>
              <w:rPr>
                <w:sz w:val="17"/>
              </w:rPr>
              <w:t>17/Jul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>
              <w:rPr>
                <w:sz w:val="17"/>
              </w:rPr>
              <w:t>Em andamento</w:t>
            </w:r>
          </w:p>
        </w:tc>
      </w:tr>
      <w:tr>
        <w:tc>
          <w:tcPr>
            <w:tcW w:type="dxa" w:w="4608"/>
          </w:tcPr>
          <w:p>
            <w:pPr>
              <w:spacing w:after="20" w:before="20"/>
            </w:pPr>
            <w:r>
              <w:rPr>
                <w:sz w:val="17"/>
              </w:rPr>
              <w:t>Ratificar stack do dashboard (Streamlit)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>
              <w:rPr>
                <w:sz w:val="17"/>
              </w:rPr>
              <w:t>17/Jul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>
              <w:rPr>
                <w:sz w:val="17"/>
              </w:rPr>
              <w:t>A iniciar</w:t>
            </w:r>
          </w:p>
        </w:tc>
      </w:tr>
      <w:tr>
        <w:tc>
          <w:tcPr>
            <w:tcW w:type="dxa" w:w="4608"/>
          </w:tcPr>
          <w:p>
            <w:pPr>
              <w:spacing w:after="20" w:before="20"/>
            </w:pPr>
            <w:r>
              <w:rPr>
                <w:sz w:val="17"/>
              </w:rPr>
              <w:t>Spec 003 — pipeline ETL (extratores, qualidade, upsert idempotente)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>
              <w:rPr>
                <w:sz w:val="17"/>
              </w:rPr>
              <w:t>Dados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>
              <w:rPr>
                <w:sz w:val="17"/>
              </w:rPr>
              <w:t>18/Jul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>
              <w:rPr>
                <w:sz w:val="17"/>
              </w:rPr>
              <w:t>Em andamento</w:t>
            </w:r>
          </w:p>
        </w:tc>
      </w:tr>
      <w:tr>
        <w:tc>
          <w:tcPr>
            <w:tcW w:type="dxa" w:w="4608"/>
          </w:tcPr>
          <w:p>
            <w:pPr>
              <w:spacing w:after="20" w:before="20"/>
            </w:pPr>
            <w:r>
              <w:rPr>
                <w:sz w:val="17"/>
              </w:rPr>
              <w:t>Spec 004 — motor de alertas (km/tempo) + agendamento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>
              <w:rPr>
                <w:sz w:val="17"/>
              </w:rPr>
              <w:t>21/Jul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>
              <w:rPr>
                <w:sz w:val="17"/>
              </w:rPr>
              <w:t>A iniciar</w:t>
            </w:r>
          </w:p>
        </w:tc>
      </w:tr>
      <w:tr>
        <w:tc>
          <w:tcPr>
            <w:tcW w:type="dxa" w:w="4608"/>
          </w:tcPr>
          <w:p>
            <w:pPr>
              <w:spacing w:after="20" w:before="20"/>
            </w:pPr>
            <w:r>
              <w:rPr>
                <w:sz w:val="17"/>
              </w:rPr>
              <w:t>Spec 005 — painel frota/alertas + toggle público + auto-refresh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>
              <w:rPr>
                <w:sz w:val="17"/>
              </w:rPr>
              <w:t>22/Jul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>
              <w:rPr>
                <w:sz w:val="17"/>
              </w:rPr>
              <w:t>A iniciar</w:t>
            </w:r>
          </w:p>
        </w:tc>
      </w:tr>
      <w:tr>
        <w:tc>
          <w:tcPr>
            <w:tcW w:type="dxa" w:w="4608"/>
          </w:tcPr>
          <w:p>
            <w:pPr>
              <w:spacing w:after="20" w:before="20"/>
            </w:pPr>
            <w:r>
              <w:rPr>
                <w:sz w:val="17"/>
              </w:rPr>
              <w:t>Documento LGPD/LAI/14.133 + anonimização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>
              <w:rPr>
                <w:sz w:val="17"/>
              </w:rPr>
              <w:t>Docs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>
              <w:rPr>
                <w:sz w:val="17"/>
              </w:rPr>
              <w:t>22/Jul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>
              <w:rPr>
                <w:sz w:val="17"/>
              </w:rPr>
              <w:t>Em pesquisa</w:t>
            </w:r>
          </w:p>
        </w:tc>
      </w:tr>
      <w:tr>
        <w:tc>
          <w:tcPr>
            <w:tcW w:type="dxa" w:w="4608"/>
          </w:tcPr>
          <w:p>
            <w:pPr>
              <w:spacing w:after="20" w:before="20"/>
            </w:pPr>
            <w:r>
              <w:rPr>
                <w:sz w:val="17"/>
              </w:rPr>
              <w:t>Spec 006 — painel de custos + comparativo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>
              <w:rPr>
                <w:sz w:val="17"/>
              </w:rPr>
              <w:t>23/Jul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>
              <w:rPr>
                <w:sz w:val="17"/>
              </w:rPr>
              <w:t>A iniciar</w:t>
            </w:r>
          </w:p>
        </w:tc>
      </w:tr>
      <w:tr>
        <w:tc>
          <w:tcPr>
            <w:tcW w:type="dxa" w:w="4608"/>
          </w:tcPr>
          <w:p>
            <w:pPr>
              <w:spacing w:after="20" w:before="20"/>
            </w:pPr>
            <w:r>
              <w:rPr>
                <w:sz w:val="17"/>
              </w:rPr>
              <w:t>Docker Compose funcional (1 comando)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>
              <w:rPr>
                <w:sz w:val="17"/>
              </w:rPr>
              <w:t>23/Jul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>
              <w:rPr>
                <w:sz w:val="17"/>
              </w:rPr>
              <w:t>A iniciar</w:t>
            </w:r>
          </w:p>
        </w:tc>
      </w:tr>
      <w:tr>
        <w:tc>
          <w:tcPr>
            <w:tcW w:type="dxa" w:w="4608"/>
          </w:tcPr>
          <w:p>
            <w:pPr>
              <w:spacing w:after="20" w:before="20"/>
            </w:pPr>
            <w:r>
              <w:rPr>
                <w:sz w:val="17"/>
              </w:rPr>
              <w:t>Teste de fluxo completo ponta a ponta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>
              <w:rPr>
                <w:sz w:val="17"/>
              </w:rPr>
              <w:t>Todos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>
              <w:rPr>
                <w:sz w:val="17"/>
              </w:rPr>
              <w:t>23/Jul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>
              <w:rPr>
                <w:sz w:val="17"/>
              </w:rPr>
              <w:t>A iniciar</w:t>
            </w:r>
          </w:p>
        </w:tc>
      </w:tr>
      <w:tr>
        <w:tc>
          <w:tcPr>
            <w:tcW w:type="dxa" w:w="4608"/>
          </w:tcPr>
          <w:p>
            <w:pPr>
              <w:spacing w:after="20" w:before="20"/>
            </w:pPr>
            <w:r>
              <w:rPr>
                <w:sz w:val="17"/>
              </w:rPr>
              <w:t>Ensaio da demo (≥3x) + vídeo plano B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>
              <w:rPr>
                <w:sz w:val="17"/>
              </w:rPr>
              <w:t>Todos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>
              <w:rPr>
                <w:sz w:val="17"/>
              </w:rPr>
              <w:t>24/Jul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>
              <w:rPr>
                <w:sz w:val="17"/>
              </w:rPr>
              <w:t>A iniciar</w:t>
            </w:r>
          </w:p>
        </w:tc>
      </w:tr>
      <w:tr>
        <w:tc>
          <w:tcPr>
            <w:tcW w:type="dxa" w:w="4608"/>
          </w:tcPr>
          <w:p>
            <w:pPr>
              <w:spacing w:after="20" w:before="20"/>
            </w:pPr>
            <w:r>
              <w:rPr>
                <w:sz w:val="17"/>
              </w:rPr>
              <w:t>Final presencial — demo ao vivo + pitch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>
              <w:rPr>
                <w:sz w:val="17"/>
              </w:rPr>
              <w:t>Todos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>
              <w:rPr>
                <w:sz w:val="17"/>
              </w:rPr>
              <w:t>25/Jul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>
              <w:rPr>
                <w:sz w:val="17"/>
              </w:rPr>
              <w:t>A iniciar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