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 w:line="276" w:lineRule="auto"/>
      </w:pPr>
      <w:r>
        <w:t xml:space="preserve">LangChain Deep Agents and the "Deep Agent" Architectural Category: A Sourced Bibliographic Review</w:t>
      </w:r>
    </w:p>
    <w:p>
      <w:pPr>
        <w:pStyle w:val="Heading1"/>
        <w:keepNext/>
        <w:spacing w:after="140" w:before="320" w:line="276" w:lineRule="auto"/>
      </w:pPr>
      <w:r>
        <w:t xml:space="preserve">TL;DR</w:t>
      </w:r>
    </w:p>
    <w:p>
      <w:pPr>
        <w:pStyle w:val="ListParagraph"/>
        <w:numPr>
          <w:ilvl w:val="0"/>
          <w:numId w:val="2"/>
        </w:numPr>
        <w:spacing w:after="140" w:line="276" w:lineRule="auto"/>
        <w:jc w:val="both"/>
      </w:pPr>
      <w:r>
        <w:rPr>
          <w:b/>
          <w:bCs/>
        </w:rPr>
        <w:t xml:space="preserve">LangChain's Deep Agents is a genuine, well-documented framework</w:t>
      </w:r>
      <w:r>
        <w:t xml:space="preserve"> — the open-source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deepagents</w:t>
      </w:r>
      <w:r>
        <w:t xml:space="preserve"> Python library (github.com/langchain-ai/deepagents), an official blog post by Harrison Chase ("Deep Agents," July 30, 2025), and formal docs at docs.langchain.com — built on the LangGraph runtime as an "agent harness" defined by four pillars: a detailed system prompt, a planning tool, sub-agent delegation, and a virtual file system. It is a legitimate third concrete reference point alongside Hermes Agent and smolagents.</w:t>
      </w:r>
    </w:p>
    <w:p>
      <w:pPr>
        <w:pStyle w:val="ListParagraph"/>
        <w:numPr>
          <w:ilvl w:val="0"/>
          <w:numId w:val="2"/>
        </w:numPr>
        <w:spacing w:after="140" w:line="276" w:lineRule="auto"/>
        <w:jc w:val="both"/>
      </w:pPr>
      <w:r>
        <w:rPr>
          <w:b/>
          <w:bCs/>
        </w:rPr>
        <w:t xml:space="preserve">"Deep agents" is a real emerging architectural category</w:t>
      </w:r>
      <w:r>
        <w:t xml:space="preserve"> — long-horizon LLM agents distinguished from shallow/reactive ReAct-style agents by explicit planning, context offloading to a file system, sub-agent orchestration, and (optionally) cross-session persistent memory — popularized primarily by LangChain and grounded in patterns from Claude Code, Anthropic's multi-agent research system, OpenAI Deep Research, and Manus. The term is largely industry-coined, not yet a formal academic taxonomy label.</w:t>
      </w:r>
    </w:p>
    <w:p>
      <w:pPr>
        <w:pStyle w:val="ListParagraph"/>
        <w:numPr>
          <w:ilvl w:val="0"/>
          <w:numId w:val="2"/>
        </w:numPr>
        <w:spacing w:after="140" w:line="276" w:lineRule="auto"/>
        <w:jc w:val="both"/>
      </w:pPr>
      <w:r>
        <w:rPr>
          <w:b/>
          <w:bCs/>
        </w:rPr>
        <w:t xml:space="preserve">No single source compares all three frameworks</w:t>
      </w:r>
      <w:r>
        <w:t xml:space="preserve"> (Hermes Agent / smolagents / LangChain Deep Agents). The closest is Workspace-Bench (arXiv:2605.03596), which benchmarks Hermes, LangChain Deep Agents, and OpenClaw — but omits smolagents. This is a genuine, defensible gap the fellowship review can claim to address.</w:t>
      </w:r>
    </w:p>
    <w:p>
      <w:pPr>
        <w:pStyle w:val="Heading1"/>
        <w:keepNext/>
        <w:spacing w:after="140" w:before="320" w:line="276" w:lineRule="auto"/>
      </w:pPr>
      <w:r>
        <w:t xml:space="preserve">Key Findings</w:t>
      </w:r>
    </w:p>
    <w:p>
      <w:pPr>
        <w:pStyle w:val="ListParagraph"/>
        <w:numPr>
          <w:ilvl w:val="0"/>
          <w:numId w:val="3"/>
        </w:numPr>
        <w:spacing w:after="140" w:line="276" w:lineRule="auto"/>
        <w:jc w:val="both"/>
      </w:pPr>
      <w:r>
        <w:rPr>
          <w:b/>
          <w:bCs/>
        </w:rPr>
        <w:t xml:space="preserve">Deep Agents is verified and legitimately documented.</w:t>
      </w:r>
      <w:r>
        <w:t xml:space="preserve"> Primary sources are the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deepagents</w:t>
      </w:r>
      <w:r>
        <w:t xml:space="preserve"> GitHub repo, the July 30, 2025 LangChain blog post by Harrison Chase, and the official documentation. LangChain describes it as an "agent harness" — the same core tool-calling loop as other frameworks, but with built-in capabilities. In Chase's own words on the Sequoia Capital podcast "Context Engineering Our Way to Long-Horizon Agents," "now we have deep agents, which I'd call an agent harness… Harnesses are more like batteries included. So when we talk about deep agents… we actually give it a planning tool by default."</w:t>
      </w:r>
    </w:p>
    <w:p>
      <w:pPr>
        <w:pStyle w:val="ListParagraph"/>
        <w:numPr>
          <w:ilvl w:val="0"/>
          <w:numId w:val="3"/>
        </w:numPr>
        <w:spacing w:after="140" w:line="276" w:lineRule="auto"/>
        <w:jc w:val="both"/>
      </w:pPr>
      <w:r>
        <w:rPr>
          <w:b/>
          <w:bCs/>
        </w:rPr>
        <w:t xml:space="preserve">The four defining characteristics</w:t>
      </w:r>
      <w:r>
        <w:t xml:space="preserve"> per Chase's original blog: (a) a detailed system prompt (inspired by Claude Code's recreated prompts), (b) a planning tool, (c) sub-agents for context isolation, and (d) a file system for offloading/memory. The blog is explicit that applications like "Deep Research," "Manus," and "Claude Code" "have gotten around this limitation by implementing a combination of four things: a planning tool, sub agents, access to a file system, and a detailed prompt," and that "Planning (even if done via a no-op tool call) is a big component of that" — i.e., the to-do tool is a context-engineering device, not an execution engine.</w:t>
      </w:r>
    </w:p>
    <w:p>
      <w:pPr>
        <w:pStyle w:val="ListParagraph"/>
        <w:numPr>
          <w:ilvl w:val="0"/>
          <w:numId w:val="3"/>
        </w:numPr>
        <w:spacing w:after="140" w:line="276" w:lineRule="auto"/>
        <w:jc w:val="both"/>
      </w:pPr>
      <w:r>
        <w:rPr>
          <w:b/>
          <w:bCs/>
        </w:rPr>
        <w:t xml:space="preserve">Memory in Deep Agents is layered and configurable, with genuine cross-session persistence available but not on by default.</w:t>
      </w:r>
      <w:r>
        <w:t xml:space="preserve"> The default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StateBackend</w:t>
      </w:r>
      <w:r>
        <w:t xml:space="preserve"> is ephemeral (scoped to a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thread_id</w:t>
      </w:r>
      <w:r>
        <w:t xml:space="preserve">); durable cross-thread memory requires a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CompositeBackend</w:t>
      </w:r>
      <w:r>
        <w:t xml:space="preserve"> routing a path such as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/memories/</w:t>
      </w:r>
      <w:r>
        <w:t xml:space="preserve"> to a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StoreBackend</w:t>
      </w:r>
      <w:r>
        <w:t xml:space="preserve"> backed by a LangGraph Store. Persistent instructions/preferences also load at startup from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AGENTS.md</w:t>
      </w:r>
      <w:r>
        <w:t xml:space="preserve"> memory files.</w:t>
      </w:r>
    </w:p>
    <w:p>
      <w:pPr>
        <w:pStyle w:val="ListParagraph"/>
        <w:numPr>
          <w:ilvl w:val="0"/>
          <w:numId w:val="3"/>
        </w:numPr>
        <w:spacing w:after="140" w:line="276" w:lineRule="auto"/>
        <w:jc w:val="both"/>
      </w:pPr>
      <w:r>
        <w:rPr>
          <w:b/>
          <w:bCs/>
        </w:rPr>
        <w:t xml:space="preserve">The broader "deep agent" discourse</w:t>
      </w:r>
      <w:r>
        <w:t xml:space="preserve"> distinguishes deep/long-horizon agents from shallow ReAct loops and connects to Anthropic's orchestrator-worker research system, Manus's file-system-as-memory context engineering, and academic long-horizon agent work.</w:t>
      </w:r>
    </w:p>
    <w:p>
      <w:pPr>
        <w:pStyle w:val="ListParagraph"/>
        <w:numPr>
          <w:ilvl w:val="0"/>
          <w:numId w:val="3"/>
        </w:numPr>
        <w:spacing w:after="140" w:line="276" w:lineRule="auto"/>
        <w:jc w:val="both"/>
      </w:pPr>
      <w:r>
        <w:rPr>
          <w:b/>
          <w:bCs/>
        </w:rPr>
        <w:t xml:space="preserve">The academic literature uses "long-horizon agents" rather than "deep agents"</w:t>
      </w:r>
      <w:r>
        <w:t xml:space="preserve"> as the scholarly term. There is a distinct RUC-NLPIR paper literally titled "DeepAgent" (arXiv:2510.21618, WWW 2026) — an unrelated end-to-end reasoning model, NOT LangChain's library. Care must be taken to avoid conflating the two.</w:t>
      </w:r>
    </w:p>
    <w:p>
      <w:pPr>
        <w:pStyle w:val="Heading1"/>
        <w:keepNext/>
        <w:spacing w:after="140" w:before="320" w:line="276" w:lineRule="auto"/>
      </w:pPr>
      <w:r>
        <w:t xml:space="preserve">Details</w:t>
      </w:r>
    </w:p>
    <w:p>
      <w:pPr>
        <w:pStyle w:val="Heading2"/>
        <w:keepNext/>
        <w:spacing w:after="140" w:before="320" w:line="276" w:lineRule="auto"/>
      </w:pPr>
      <w:r>
        <w:t xml:space="preserve">1. Primary sources verifying LangChain Deep Agents</w:t>
      </w:r>
    </w:p>
    <w:p>
      <w:pPr>
        <w:spacing w:after="220" w:line="276" w:lineRule="auto"/>
        <w:jc w:val="both"/>
      </w:pPr>
      <w:r>
        <w:rPr>
          <w:b/>
          <w:bCs/>
        </w:rPr>
        <w:t xml:space="preserve">(A) LangChain blog — "Deep Agents" (INDUSTRY BLOG POST / primary announcement)</w:t>
      </w:r>
    </w:p>
    <w:p>
      <w:pPr>
        <w:pStyle w:val="ListParagraph"/>
        <w:numPr>
          <w:ilvl w:val="0"/>
          <w:numId w:val="2"/>
        </w:numPr>
        <w:spacing w:after="140" w:line="276" w:lineRule="auto"/>
        <w:jc w:val="both"/>
      </w:pPr>
      <w:r>
        <w:t xml:space="preserve">Author/org: Harrison Chase (co-founder &amp; CEO, LangChain). Date: July 30, 2025. URL: langchain.com/blog/deep-agents.</w:t>
      </w:r>
    </w:p>
    <w:p>
      <w:pPr>
        <w:pStyle w:val="ListParagraph"/>
        <w:numPr>
          <w:ilvl w:val="0"/>
          <w:numId w:val="2"/>
        </w:numPr>
        <w:spacing w:after="140" w:line="276" w:lineRule="auto"/>
        <w:jc w:val="both"/>
      </w:pPr>
      <w:r>
        <w:t xml:space="preserve">Core contribution: Coins/popularizes the term "deep agents" for agents able to "dive deep" and plan/execute over long horizons, contrasting them with "shallow" agents (an LLM calling tools in a loop naively). Identifies the four components — detailed system prompt, planning tool, sub-agents, file system — abstracted from Claude Code, Deep Research, and Manus. Announces the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deepagents</w:t>
      </w:r>
      <w:r>
        <w:t xml:space="preserve"> pip package. Notably candid that the planning to-do tool "doesn't do anything! It's basically a no-op … just context engineering strategy to keep the agent on track."</w:t>
      </w:r>
    </w:p>
    <w:p>
      <w:pPr>
        <w:pStyle w:val="ListParagraph"/>
        <w:numPr>
          <w:ilvl w:val="0"/>
          <w:numId w:val="2"/>
        </w:numPr>
        <w:spacing w:after="140" w:line="276" w:lineRule="auto"/>
        <w:jc w:val="both"/>
      </w:pPr>
      <w:r>
        <w:t xml:space="preserve">Relevance: This is the canonical definitional source for the framework and the term. For legal workflows it establishes planning-as-context-engineering and file-system offloading as the two mechanisms most relevant to controlled memory updates.</w:t>
      </w:r>
    </w:p>
    <w:p>
      <w:pPr>
        <w:spacing w:after="200" w:line="276" w:lineRule="auto"/>
        <w:jc w:val="both"/>
      </w:pPr>
      <w:r>
        <w:rPr>
          <w:b/>
          <w:bCs/>
        </w:rPr>
        <w:t xml:space="preserve">(B) `deepagents` GitHub repository (INDUSTRY / OPEN-SOURCE CODE)</w:t>
      </w:r>
    </w:p>
    <w:p>
      <w:pPr>
        <w:pStyle w:val="ListParagraph"/>
        <w:numPr>
          <w:ilvl w:val="0"/>
          <w:numId w:val="2"/>
        </w:numPr>
        <w:spacing w:after="140" w:line="276" w:lineRule="auto"/>
        <w:jc w:val="both"/>
      </w:pPr>
      <w:r>
        <w:t xml:space="preserve">Org: langchain-ai. URL: github.com/langchain-ai/deepagents. Also a JS/TS port (deepagentsjs), a UI (deep-agents-ui), a tutorial repo (deep-agents-from-scratch), and a managed offering (managed-deepagents).</w:t>
      </w:r>
    </w:p>
    <w:p>
      <w:pPr>
        <w:pStyle w:val="ListParagraph"/>
        <w:numPr>
          <w:ilvl w:val="0"/>
          <w:numId w:val="2"/>
        </w:numPr>
        <w:spacing w:after="140" w:line="276" w:lineRule="auto"/>
        <w:jc w:val="both"/>
      </w:pPr>
      <w:r>
        <w:t xml:space="preserve">Core contribution: Reference implementation.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create_deep_agent(model=..., tools=..., system_prompt=..., subagents=..., backend=...)</w:t>
      </w:r>
      <w:r>
        <w:t xml:space="preserve">. Built on LangGraph for durable execution, streaming, human-in-the-loop. Describes itself as "the batteries-included agent harness."</w:t>
      </w:r>
    </w:p>
    <w:p>
      <w:pPr>
        <w:pStyle w:val="ListParagraph"/>
        <w:numPr>
          <w:ilvl w:val="0"/>
          <w:numId w:val="2"/>
        </w:numPr>
        <w:spacing w:after="140" w:line="276" w:lineRule="auto"/>
        <w:jc w:val="both"/>
      </w:pPr>
      <w:r>
        <w:t xml:space="preserve">Relevance: Auditable, self-hostable, model-agnostic — important for a financial institution needing on-prem/compliance control.</w:t>
      </w:r>
    </w:p>
    <w:p>
      <w:pPr>
        <w:spacing w:after="200" w:line="276" w:lineRule="auto"/>
        <w:jc w:val="both"/>
      </w:pPr>
      <w:r>
        <w:rPr>
          <w:b/>
          <w:bCs/>
        </w:rPr>
        <w:t xml:space="preserve">(C) Official documentation — Deep Agents overview &amp; context engineering (INDUSTRY DOCS)</w:t>
      </w:r>
    </w:p>
    <w:p>
      <w:pPr>
        <w:pStyle w:val="ListParagraph"/>
        <w:numPr>
          <w:ilvl w:val="0"/>
          <w:numId w:val="2"/>
        </w:numPr>
        <w:spacing w:after="140" w:line="276" w:lineRule="auto"/>
        <w:jc w:val="both"/>
      </w:pPr>
      <w:r>
        <w:t xml:space="preserve">URL: docs.langchain.com/oss/python/deepagents/overview (plus /context-engineering, /customization, /comparison).</w:t>
      </w:r>
    </w:p>
    <w:p>
      <w:pPr>
        <w:pStyle w:val="ListParagraph"/>
        <w:numPr>
          <w:ilvl w:val="0"/>
          <w:numId w:val="2"/>
        </w:numPr>
        <w:spacing w:after="140" w:line="276" w:lineRule="auto"/>
        <w:jc w:val="both"/>
      </w:pPr>
      <w:r>
        <w:t xml:space="preserve">Core contribution: The most complete architecture reference. Organizes the harness into four capability groups: Execution environment (tools/MCP, virtual filesystem with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ls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read_file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write_file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edit_file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delete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glob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grep</w:t>
      </w:r>
      <w:r>
        <w:t xml:space="preserve">, filesystem permissions, code execution), Context management (skills via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SKILL.md</w:t>
      </w:r>
      <w:r>
        <w:t xml:space="preserve"> progressive disclosure, memory via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AGENTS.md</w:t>
      </w:r>
      <w:r>
        <w:t xml:space="preserve">, summarization/offloading, prompt caching), Delegation (opt-in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TodoListMiddleware</w:t>
      </w:r>
      <w:r>
        <w:t xml:space="preserve"> task planning as of v0.7, and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task</w:t>
      </w:r>
      <w:r>
        <w:t xml:space="preserve">-tool subagents with fresh/isolated context), and Steering (human-in-the-loop interrupts).</w:t>
      </w:r>
    </w:p>
    <w:p>
      <w:pPr>
        <w:pStyle w:val="ListParagraph"/>
        <w:numPr>
          <w:ilvl w:val="0"/>
          <w:numId w:val="2"/>
        </w:numPr>
        <w:spacing w:after="140" w:line="276" w:lineRule="auto"/>
        <w:jc w:val="both"/>
      </w:pPr>
      <w:r>
        <w:t xml:space="preserve">Memory specifics: Short-term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StateBackend</w:t>
      </w:r>
      <w:r>
        <w:t xml:space="preserve"> (ephemeral, per-thread), long-term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StoreBackend</w:t>
      </w:r>
      <w:r>
        <w:t xml:space="preserve"> (persists across threads/sessions via LangGraph Store), hybrid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CompositeBackend</w:t>
      </w:r>
      <w:r>
        <w:t xml:space="preserve"> (routes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/memories/</w:t>
      </w:r>
      <w:r>
        <w:t xml:space="preserve"> to persistent store). Memory files in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AGENTS.md</w:t>
      </w:r>
      <w:r>
        <w:t xml:space="preserve"> are always loaded; the agent can update memory based on interactions so preferences carry forward across threads.</w:t>
      </w:r>
    </w:p>
    <w:p>
      <w:pPr>
        <w:pStyle w:val="ListParagraph"/>
        <w:numPr>
          <w:ilvl w:val="0"/>
          <w:numId w:val="2"/>
        </w:numPr>
        <w:spacing w:after="140" w:line="276" w:lineRule="auto"/>
        <w:jc w:val="both"/>
      </w:pPr>
      <w:r>
        <w:t xml:space="preserve">Relevance: Directly maps to the fellowship's memory-update focus — Deep Agents implements memory as plain files edited by the agent, with routing/persistence handled outside the agentic loop (no vector DB or embeddings required by default).</w:t>
      </w:r>
    </w:p>
    <w:p>
      <w:pPr>
        <w:spacing w:after="200" w:line="276" w:lineRule="auto"/>
        <w:jc w:val="both"/>
      </w:pPr>
      <w:r>
        <w:t xml:space="preserve">Architecture summary for the review: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color w:val="FFFFFF"/>
              </w:rPr>
              <w:t xml:space="preserve">Pillar</w:t>
            </w:r>
          </w:p>
        </w:tc>
        <w:tc>
          <w:tcPr>
            <w:tcW w:type="dxa" w:w="6939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color w:val="FFFFFF"/>
              </w:rPr>
              <w:t xml:space="preserve">Mechanism in Deep Agents</w:t>
            </w:r>
          </w:p>
        </w:tc>
      </w:tr>
      <w:tr>
        <w:tc>
          <w:tcPr>
            <w:tcW w:type="dxa" w:w="2699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</w:pPr>
            <w:r>
              <w:t xml:space="preserve">Planning</w:t>
            </w:r>
          </w:p>
        </w:tc>
        <w:tc>
          <w:tcPr>
            <w:tcW w:type="dxa" w:w="6939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</w:pPr>
            <w:r>
              <w:rPr>
                <w:rFonts w:ascii="Consolas" w:cs="Consolas" w:eastAsia="Consolas" w:hAnsi="Consolas"/>
                <w:sz w:val="20"/>
                <w:szCs w:val="20"/>
                <w:shd w:fill="F0F0F0"/>
              </w:rPr>
              <w:t xml:space="preserve">write_todos</w:t>
            </w:r>
            <w:r>
              <w:t xml:space="preserve"> no-op to-do tool (opt-in </w:t>
            </w:r>
            <w:r>
              <w:rPr>
                <w:rFonts w:ascii="Consolas" w:cs="Consolas" w:eastAsia="Consolas" w:hAnsi="Consolas"/>
                <w:sz w:val="20"/>
                <w:szCs w:val="20"/>
                <w:shd w:fill="F0F0F0"/>
              </w:rPr>
              <w:t xml:space="preserve">TodoListMiddleware</w:t>
            </w:r>
            <w:r>
              <w:t xml:space="preserve"> v0.7+); status tracking pending/in_progress/completed, persisted in state</w:t>
            </w:r>
          </w:p>
        </w:tc>
      </w:tr>
      <w:tr>
        <w:tc>
          <w:tcPr>
            <w:tcW w:type="dxa" w:w="2699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</w:pPr>
            <w:r>
              <w:t xml:space="preserve">Sub-agents</w:t>
            </w:r>
          </w:p>
        </w:tc>
        <w:tc>
          <w:tcPr>
            <w:tcW w:type="dxa" w:w="6939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</w:pPr>
            <w:r>
              <w:t xml:space="preserve">Built-in </w:t>
            </w:r>
            <w:r>
              <w:rPr>
                <w:rFonts w:ascii="Consolas" w:cs="Consolas" w:eastAsia="Consolas" w:hAnsi="Consolas"/>
                <w:sz w:val="20"/>
                <w:szCs w:val="20"/>
                <w:shd w:fill="F0F0F0"/>
              </w:rPr>
              <w:t xml:space="preserve">task</w:t>
            </w:r>
            <w:r>
              <w:t xml:space="preserve"> tool spawns ephemeral, stateless sub-agents with isolated context; single final-report handoff ("context quarantine")</w:t>
            </w:r>
          </w:p>
        </w:tc>
      </w:tr>
      <w:tr>
        <w:tc>
          <w:tcPr>
            <w:tcW w:type="dxa" w:w="2699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</w:pPr>
            <w:r>
              <w:t xml:space="preserve">Context offload</w:t>
            </w:r>
          </w:p>
        </w:tc>
        <w:tc>
          <w:tcPr>
            <w:tcW w:type="dxa" w:w="6939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</w:pPr>
            <w:r>
              <w:t xml:space="preserve">Virtual filesystem; large tool results written to files and summarized; automatic compression/summarization middleware</w:t>
            </w:r>
          </w:p>
        </w:tc>
      </w:tr>
      <w:tr>
        <w:tc>
          <w:tcPr>
            <w:tcW w:type="dxa" w:w="2699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</w:pPr>
            <w:r>
              <w:t xml:space="preserve">Memory / persistence</w:t>
            </w:r>
          </w:p>
        </w:tc>
        <w:tc>
          <w:tcPr>
            <w:tcW w:type="dxa" w:w="6939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</w:pPr>
            <w:r>
              <w:rPr>
                <w:rFonts w:ascii="Consolas" w:cs="Consolas" w:eastAsia="Consolas" w:hAnsi="Consolas"/>
                <w:sz w:val="20"/>
                <w:szCs w:val="20"/>
                <w:shd w:fill="F0F0F0"/>
              </w:rPr>
              <w:t xml:space="preserve">StateBackend</w:t>
            </w:r>
            <w:r>
              <w:t xml:space="preserve"> (ephemeral) / </w:t>
            </w:r>
            <w:r>
              <w:rPr>
                <w:rFonts w:ascii="Consolas" w:cs="Consolas" w:eastAsia="Consolas" w:hAnsi="Consolas"/>
                <w:sz w:val="20"/>
                <w:szCs w:val="20"/>
                <w:shd w:fill="F0F0F0"/>
              </w:rPr>
              <w:t xml:space="preserve">StoreBackend</w:t>
            </w:r>
            <w:r>
              <w:t xml:space="preserve"> (cross-session) / </w:t>
            </w:r>
            <w:r>
              <w:rPr>
                <w:rFonts w:ascii="Consolas" w:cs="Consolas" w:eastAsia="Consolas" w:hAnsi="Consolas"/>
                <w:sz w:val="20"/>
                <w:szCs w:val="20"/>
                <w:shd w:fill="F0F0F0"/>
              </w:rPr>
              <w:t xml:space="preserve">CompositeBackend</w:t>
            </w:r>
            <w:r>
              <w:t xml:space="preserve"> (hybrid) + </w:t>
            </w:r>
            <w:r>
              <w:rPr>
                <w:rFonts w:ascii="Consolas" w:cs="Consolas" w:eastAsia="Consolas" w:hAnsi="Consolas"/>
                <w:sz w:val="20"/>
                <w:szCs w:val="20"/>
                <w:shd w:fill="F0F0F0"/>
              </w:rPr>
              <w:t xml:space="preserve">AGENTS.md</w:t>
            </w:r>
            <w:r>
              <w:t xml:space="preserve"> always-loaded memory</w:t>
            </w:r>
          </w:p>
        </w:tc>
      </w:tr>
      <w:tr>
        <w:tc>
          <w:tcPr>
            <w:tcW w:type="dxa" w:w="2699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</w:pPr>
            <w:r>
              <w:t xml:space="preserve">System prompt</w:t>
            </w:r>
          </w:p>
        </w:tc>
        <w:tc>
          <w:tcPr>
            <w:tcW w:type="dxa" w:w="6939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</w:pPr>
            <w:r>
              <w:t xml:space="preserve">Detailed base prompt inspired by Claude Code; user instructions injected as custom section</w:t>
            </w:r>
          </w:p>
        </w:tc>
      </w:tr>
    </w:tbl>
    <w:p>
      <w:pPr>
        <w:spacing w:after="160" w:line="276" w:lineRule="auto"/>
      </w:pPr>
    </w:p>
    <w:p>
      <w:pPr>
        <w:pStyle w:val="Heading2"/>
        <w:keepNext/>
        <w:spacing w:after="140" w:before="320" w:line="276" w:lineRule="auto"/>
      </w:pPr>
      <w:r>
        <w:t xml:space="preserve">2. Other well-documented "deep agent" / long-horizon frameworks worth comparing</w:t>
      </w:r>
    </w:p>
    <w:p>
      <w:pPr>
        <w:spacing w:after="200" w:line="276" w:lineRule="auto"/>
        <w:jc w:val="both"/>
      </w:pPr>
      <w:r>
        <w:rPr>
          <w:b/>
          <w:bCs/>
        </w:rPr>
        <w:t xml:space="preserve">(D) Anthropic — "How we built our multi-agent research system" (INDUSTRY ENGINEERING BLOG)</w:t>
      </w:r>
    </w:p>
    <w:p>
      <w:pPr>
        <w:pStyle w:val="ListParagraph"/>
        <w:numPr>
          <w:ilvl w:val="0"/>
          <w:numId w:val="2"/>
        </w:numPr>
        <w:spacing w:after="140" w:line="276" w:lineRule="auto"/>
        <w:jc w:val="both"/>
      </w:pPr>
      <w:r>
        <w:t xml:space="preserve">Org: Anthropic. Published June 2025 (Research feature launched April 2025).</w:t>
      </w:r>
    </w:p>
    <w:p>
      <w:pPr>
        <w:pStyle w:val="ListParagraph"/>
        <w:numPr>
          <w:ilvl w:val="0"/>
          <w:numId w:val="2"/>
        </w:numPr>
        <w:spacing w:after="140" w:line="276" w:lineRule="auto"/>
        <w:jc w:val="both"/>
      </w:pPr>
      <w:r>
        <w:t xml:space="preserve">Core contribution: Orchestrator-worker pattern — a LeadResearcher plans, spawns subagents in parallel, then a CitationAgent attributes sources. Per Anthropic's post, "the lead agent spins up 3-5 subagents in parallel rather than serially; (2) the subagents use 3+ tools in parallel. These changes cut research time by up to 90% for complex queries." On performance and cost, "a multi-agent system with Claude Opus 4 as the lead agent and Claude Sonnet 4 subagents outperformed single-agent Claude Opus 4 by 90.2% on our internal research eval," while multi-agent systems "use about 15× more tokens than chats." The lead agent persists its plan to memory when context approaches the model's token limit. Anthropic is explicit that multi-agent systems suit breadth-first, parallelizable tasks but not tightly interdependent work (e.g., most coding).</w:t>
      </w:r>
    </w:p>
    <w:p>
      <w:pPr>
        <w:pStyle w:val="ListParagraph"/>
        <w:numPr>
          <w:ilvl w:val="0"/>
          <w:numId w:val="2"/>
        </w:numPr>
        <w:spacing w:after="140" w:line="276" w:lineRule="auto"/>
        <w:jc w:val="both"/>
      </w:pPr>
      <w:r>
        <w:t xml:space="preserve">Relevance: The canonical sub-agent orchestration reference; the "save the plan to memory to survive context overflow" pattern is directly transferable to long legal-research tasks.</w:t>
      </w:r>
    </w:p>
    <w:p>
      <w:pPr>
        <w:spacing w:after="200" w:line="276" w:lineRule="auto"/>
        <w:jc w:val="both"/>
      </w:pPr>
      <w:r>
        <w:rPr>
          <w:b/>
          <w:bCs/>
        </w:rPr>
        <w:t xml:space="preserve">(E) Anthropic/Claude — "When to use multi-agent systems (and when not to)" (INDUSTRY BLOG)</w:t>
      </w:r>
    </w:p>
    <w:p>
      <w:pPr>
        <w:pStyle w:val="ListParagraph"/>
        <w:numPr>
          <w:ilvl w:val="0"/>
          <w:numId w:val="2"/>
        </w:numPr>
        <w:spacing w:after="140" w:line="276" w:lineRule="auto"/>
        <w:jc w:val="both"/>
      </w:pPr>
      <w:r>
        <w:t xml:space="preserve">Org: Anthropic (claude.com/blog). Core contribution: Guidance on orchestrator-subagent contracts (objective, output format, tool guidance, boundaries), verification subagents, and effort-scaling rules. Relevance: practical governance guidance for delegating legal subtasks safely.</w:t>
      </w:r>
    </w:p>
    <w:p>
      <w:pPr>
        <w:spacing w:after="200" w:line="276" w:lineRule="auto"/>
        <w:jc w:val="both"/>
      </w:pPr>
      <w:r>
        <w:rPr>
          <w:b/>
          <w:bCs/>
        </w:rPr>
        <w:t xml:space="preserve">(F) Manus — "Context Engineering for AI Agents: Lessons from Building Manus" (INDUSTRY BLOG)</w:t>
      </w:r>
    </w:p>
    <w:p>
      <w:pPr>
        <w:pStyle w:val="ListParagraph"/>
        <w:numPr>
          <w:ilvl w:val="0"/>
          <w:numId w:val="2"/>
        </w:numPr>
        <w:spacing w:after="140" w:line="276" w:lineRule="auto"/>
        <w:jc w:val="both"/>
      </w:pPr>
      <w:r>
        <w:t xml:space="preserve">Author: Yichao 'Peak' Ji (Manus). Date: July 18, 2025. URL: manus.im/blog. Core contribution: In the author's words, "we treat the file system as the ultimate context in Manus: unlimited in size, persistent by nature, and directly operable by the agent itself… Our compression strategies are always designed to be restorable" (e.g., drop web-page content but keep the URL; drop a document but keep its path). Manus notes a typical task "requires around 50 tool calls on average," and uses a recited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todo.md</w:t>
      </w:r>
      <w:r>
        <w:t xml:space="preserve"> to fight "lost-in-the-middle."</w:t>
      </w:r>
    </w:p>
    <w:p>
      <w:pPr>
        <w:pStyle w:val="ListParagraph"/>
        <w:numPr>
          <w:ilvl w:val="0"/>
          <w:numId w:val="2"/>
        </w:numPr>
        <w:spacing w:after="140" w:line="276" w:lineRule="auto"/>
        <w:jc w:val="both"/>
      </w:pPr>
      <w:r>
        <w:t xml:space="preserve">Relevance: The intellectual source for Deep Agents' file-system pillar; directly relevant to designing signal-driven, reversible memory updates.</w:t>
      </w:r>
    </w:p>
    <w:p>
      <w:pPr>
        <w:spacing w:after="200" w:line="276" w:lineRule="auto"/>
        <w:jc w:val="both"/>
      </w:pPr>
      <w:r>
        <w:rPr>
          <w:b/>
          <w:bCs/>
        </w:rPr>
        <w:t xml:space="preserve">(G) Claude Agent SDK (Anthropic) &amp; OpenAI Agents SDK (INDUSTRY SDKs)</w:t>
      </w:r>
    </w:p>
    <w:p>
      <w:pPr>
        <w:pStyle w:val="ListParagraph"/>
        <w:numPr>
          <w:ilvl w:val="0"/>
          <w:numId w:val="2"/>
        </w:numPr>
        <w:spacing w:after="140" w:line="276" w:lineRule="auto"/>
        <w:jc w:val="both"/>
      </w:pPr>
      <w:r>
        <w:t xml:space="preserve">LangChain's own docs provide a side-by-side "Deep Agents vs. Claude Agent SDK" comparison: the key differentiator is model/infrastructure flexibility (Deep Agents is model-agnostic; Claude Agent SDK is Claude-native). The OpenAI Agents SDK is noted as lighter on long-horizon planning/filesystem context management. Relevance: situates Deep Agents among production harnesses.</w:t>
      </w:r>
    </w:p>
    <w:p>
      <w:pPr>
        <w:pStyle w:val="Heading2"/>
        <w:keepNext/>
        <w:spacing w:after="140" w:before="320" w:line="276" w:lineRule="auto"/>
      </w:pPr>
      <w:r>
        <w:t xml:space="preserve">3. Academic papers (2024–2026) on long-horizon/deep-agent architectures NOT already in the fellowship list</w:t>
      </w:r>
    </w:p>
    <w:p>
      <w:pPr>
        <w:spacing w:after="200" w:line="276" w:lineRule="auto"/>
        <w:jc w:val="both"/>
      </w:pPr>
      <w:r>
        <w:rPr>
          <w:b/>
          <w:bCs/>
        </w:rPr>
        <w:t xml:space="preserve">(H) DeepAgent: A General Reasoning Agent with Scalable Toolsets (PEER-REVIEWED — WWW 2026 Oral)</w:t>
      </w:r>
    </w:p>
    <w:p>
      <w:pPr>
        <w:pStyle w:val="ListParagraph"/>
        <w:numPr>
          <w:ilvl w:val="0"/>
          <w:numId w:val="2"/>
        </w:numPr>
        <w:spacing w:after="140" w:line="276" w:lineRule="auto"/>
        <w:jc w:val="both"/>
      </w:pPr>
      <w:r>
        <w:t xml:space="preserve">Authors: Xiaoxi Li, Wenxiang Jiao, Jiarui Jin, Guanting Dong, Jiajie Jin, Yinuo Wang, Hao Wang, Yutao Zhu, Ji-Rong Wen, Yuan Lu, Zhicheng Dou (Renmin University of China, RUC-NLPIR). arXiv:2510.21618; accepted as Oral at The Web Conference (WWW) 2026 (April 13–17, 2026, Dubai).</w:t>
      </w:r>
    </w:p>
    <w:p>
      <w:pPr>
        <w:pStyle w:val="ListParagraph"/>
        <w:numPr>
          <w:ilvl w:val="0"/>
          <w:numId w:val="2"/>
        </w:numPr>
        <w:spacing w:after="140" w:line="276" w:lineRule="auto"/>
        <w:jc w:val="both"/>
      </w:pPr>
      <w:r>
        <w:t xml:space="preserve">Core contribution: An end-to-end deep reasoning agent that unifies thinking, dynamic tool discovery, and action in one reasoning stream. Introduces an autonomous memory folding mechanism that compresses history into brain-inspired episodic, working, and tool memories, plus a reinforcement-learning strategy (ToolPO) for tool use.</w:t>
      </w:r>
    </w:p>
    <w:p>
      <w:pPr>
        <w:pStyle w:val="ListParagraph"/>
        <w:numPr>
          <w:ilvl w:val="0"/>
          <w:numId w:val="2"/>
        </w:numPr>
        <w:spacing w:after="140" w:line="276" w:lineRule="auto"/>
        <w:jc w:val="both"/>
      </w:pPr>
      <w:r>
        <w:t xml:space="preserve">Important disambiguation: This is a DIFFERENT artifact from LangChain's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deepagents</w:t>
      </w:r>
      <w:r>
        <w:t xml:space="preserve"> library — same name, unrelated. The memory-folding mechanism is directly relevant to signal-driven memory consolidation for legal agents.</w:t>
      </w:r>
    </w:p>
    <w:p>
      <w:pPr>
        <w:spacing w:after="200" w:line="276" w:lineRule="auto"/>
        <w:jc w:val="both"/>
      </w:pPr>
      <w:r>
        <w:rPr>
          <w:b/>
          <w:bCs/>
        </w:rPr>
        <w:t xml:space="preserve">(I) Always-On Agents: A Survey of Persistent Memory, State, and Governance in LLM Agents (ACADEMIC PREPRINT)</w:t>
      </w:r>
    </w:p>
    <w:p>
      <w:pPr>
        <w:pStyle w:val="ListParagraph"/>
        <w:numPr>
          <w:ilvl w:val="0"/>
          <w:numId w:val="2"/>
        </w:numPr>
        <w:spacing w:after="140" w:line="276" w:lineRule="auto"/>
        <w:jc w:val="both"/>
      </w:pPr>
      <w:r>
        <w:t xml:space="preserve">Authors: Tianyu Ding, Aditya Nannapaneni, Bingfan Liu, Ling Zhang. arXiv:2606.30306, submitted June 29, 2026.</w:t>
      </w:r>
    </w:p>
    <w:p>
      <w:pPr>
        <w:pStyle w:val="ListParagraph"/>
        <w:numPr>
          <w:ilvl w:val="0"/>
          <w:numId w:val="2"/>
        </w:numPr>
        <w:spacing w:after="140" w:line="276" w:lineRule="auto"/>
        <w:jc w:val="both"/>
      </w:pPr>
      <w:r>
        <w:t xml:space="preserve">Core contribution: Surveys a 435-work corpus through six diagnostic axes (authority, scope, mutability, provenance, recoverability, actionability) and a state lifecycle (written, validated, organized, retrieved, acted upon, updated, forgotten, audited, rolled back). Finds the literature over-focuses on accumulating/retrieving state vs. governing/recovering it; proposes the Always-On Evaluation Protocol (AOEP-v0).</w:t>
      </w:r>
    </w:p>
    <w:p>
      <w:pPr>
        <w:pStyle w:val="ListParagraph"/>
        <w:numPr>
          <w:ilvl w:val="0"/>
          <w:numId w:val="2"/>
        </w:numPr>
        <w:spacing w:after="140" w:line="276" w:lineRule="auto"/>
        <w:jc w:val="both"/>
      </w:pPr>
      <w:r>
        <w:t xml:space="preserve">Relevance: Excellent framing for a controlled, signal-driven memory-update mechanism — its governance axes (mutability, provenance, recoverability) map directly onto compliance needs in legal/financial workflows.</w:t>
      </w:r>
    </w:p>
    <w:p>
      <w:pPr>
        <w:spacing w:after="200" w:line="276" w:lineRule="auto"/>
        <w:jc w:val="both"/>
      </w:pPr>
      <w:r>
        <w:rPr>
          <w:b/>
          <w:bCs/>
        </w:rPr>
        <w:t xml:space="preserve">(J) A Survey on Long-Term Memory Security in LLM Agents: Attacks, Defenses, and Governance Across the Memory Lifecycle (ACADEMIC PREPRINT)</w:t>
      </w:r>
    </w:p>
    <w:p>
      <w:pPr>
        <w:pStyle w:val="ListParagraph"/>
        <w:numPr>
          <w:ilvl w:val="0"/>
          <w:numId w:val="2"/>
        </w:numPr>
        <w:spacing w:after="140" w:line="276" w:lineRule="auto"/>
        <w:jc w:val="both"/>
      </w:pPr>
      <w:r>
        <w:t xml:space="preserve">Lead author: Zehao Lin et al. (8 authors). arXiv:2604.16548.</w:t>
      </w:r>
    </w:p>
    <w:p>
      <w:pPr>
        <w:pStyle w:val="ListParagraph"/>
        <w:numPr>
          <w:ilvl w:val="0"/>
          <w:numId w:val="2"/>
        </w:numPr>
        <w:spacing w:after="140" w:line="276" w:lineRule="auto"/>
        <w:jc w:val="both"/>
      </w:pPr>
      <w:r>
        <w:t xml:space="preserve">Core contribution: A Memory Lifecycle Framework (six phases: Write, Store, Retrieve, Execute, Share/Propagate, Forget/Rollback × four objectives: Integrity, Confidentiality, Availability, Governance) and Verifiable Memory Governance (VMG) primitives. Relevance: memory-poisoning and governance risk is a first-order concern for a bank's legal AI; this frames controls on memory writes.</w:t>
      </w:r>
    </w:p>
    <w:p>
      <w:pPr>
        <w:spacing w:after="200" w:line="276" w:lineRule="auto"/>
        <w:jc w:val="both"/>
      </w:pPr>
      <w:r>
        <w:rPr>
          <w:b/>
          <w:bCs/>
        </w:rPr>
        <w:t xml:space="preserve">(K) Rethinking Memory Mechanisms of Foundation Agents in the Second Half: A Survey (ACADEMIC PREPRINT)</w:t>
      </w:r>
    </w:p>
    <w:p>
      <w:pPr>
        <w:pStyle w:val="ListParagraph"/>
        <w:numPr>
          <w:ilvl w:val="0"/>
          <w:numId w:val="2"/>
        </w:numPr>
        <w:spacing w:after="140" w:line="276" w:lineRule="auto"/>
        <w:jc w:val="both"/>
      </w:pPr>
      <w:r>
        <w:t xml:space="preserve">Large multi-author consortium (lead Wei-Chieh Huang et al.). arXiv:2602.06052 (v1 Jan 14, 2026). Core contribution: Surveys self-evolving/long-horizon agent memory beyond the 2024 Zhang survey. Relevance: updates the fellowship's existing Zhang (2024/2025) survey with 2025–2026 developments.</w:t>
      </w:r>
    </w:p>
    <w:p>
      <w:pPr>
        <w:spacing w:after="200" w:line="276" w:lineRule="auto"/>
        <w:jc w:val="both"/>
      </w:pPr>
      <w:r>
        <w:rPr>
          <w:b/>
          <w:bCs/>
        </w:rPr>
        <w:t xml:space="preserve">(L) Supporting taxonomy sources (ACADEMIC):</w:t>
      </w:r>
      <w:r>
        <w:t xml:space="preserve"> "A Taxonomy of Architecture Options for Foundation Model-based Agents" (arXiv:2408.02920); "The Landscape of Emerging AI Agent Architectures for Reasoning, Planning, and Tool Calling: A Survey" (arXiv:2404.11584). These provide the reasoning/planning/memory/reflection component vocabulary that situates "deep agents" against ReAct.</w:t>
      </w:r>
    </w:p>
    <w:p>
      <w:pPr>
        <w:spacing w:after="200" w:line="276" w:lineRule="auto"/>
        <w:jc w:val="both"/>
      </w:pPr>
      <w:r>
        <w:rPr>
          <w:i/>
          <w:iCs/>
        </w:rPr>
        <w:t xml:space="preserve">Note on the fellowship's existing anchor:</w:t>
      </w:r>
      <w:r>
        <w:t xml:space="preserve"> the subagent confirmed Zeyu Zhang et al., "A Survey on the Memory Mechanism of Large Language Model-based Agents" (arXiv:2404.13501) was accepted to ACM Transactions on Information Systems (TOIS), 2025, Vol. 43, Issue 6, pp. 1–47, DOI 10.1145/3748302 — the peer-reviewed venue is verified.</w:t>
      </w:r>
    </w:p>
    <w:p>
      <w:pPr>
        <w:pStyle w:val="Heading2"/>
        <w:keepNext/>
        <w:spacing w:after="140" w:before="320" w:line="276" w:lineRule="auto"/>
      </w:pPr>
      <w:r>
        <w:t xml:space="preserve">4. Direct three-way comparison: does it exist?</w:t>
      </w:r>
    </w:p>
    <w:p>
      <w:pPr>
        <w:spacing w:after="200" w:line="276" w:lineRule="auto"/>
        <w:jc w:val="both"/>
      </w:pPr>
      <w:r>
        <w:rPr>
          <w:b/>
          <w:bCs/>
        </w:rPr>
        <w:t xml:space="preserve">No.</w:t>
      </w:r>
      <w:r>
        <w:t xml:space="preserve"> No academic paper or authoritative industry write-up compares Hermes Agent, smolagents, and LangChain Deep Agents together. The closest sources:</w:t>
      </w:r>
    </w:p>
    <w:p>
      <w:pPr>
        <w:pStyle w:val="ListParagraph"/>
        <w:numPr>
          <w:ilvl w:val="0"/>
          <w:numId w:val="2"/>
        </w:numPr>
        <w:spacing w:after="140" w:line="276" w:lineRule="auto"/>
        <w:jc w:val="both"/>
      </w:pPr>
      <w:r>
        <w:rPr>
          <w:b/>
          <w:bCs/>
        </w:rPr>
        <w:t xml:space="preserve">(M) Workspace-Bench 1.0: Benchmarking AI Agents on Workspace Tasks with Large-Scale File Dependencies (ACADEMIC PREPRINT — closest comparison)</w:t>
      </w:r>
      <w:r>
        <w:t xml:space="preserve">. arXiv:2605.03596. Benchmarks three harnesses — OpenClaw, LangChain Deep Agents, and Hermes — across 5 foundation models. Characterizes Deep Agents as a "highly controllable, white-box harness … built on LangGraph … enforcing built-in planning tools (write_todos) … fully transparent and traceable execution" and Hermes as a "built-in learning loop … four-layer decoupled memory engine." Omits smolagents. No confirmed peer-reviewed venue yet.</w:t>
      </w:r>
    </w:p>
    <w:p>
      <w:pPr>
        <w:pStyle w:val="ListParagraph"/>
        <w:numPr>
          <w:ilvl w:val="0"/>
          <w:numId w:val="2"/>
        </w:numPr>
        <w:spacing w:after="140" w:line="276" w:lineRule="auto"/>
        <w:jc w:val="both"/>
      </w:pPr>
      <w:r>
        <w:t xml:space="preserve">Pairwise industry comparisons abound (e.g., "Deep Agents vs Claude Agent SDK," "Hermes vs OpenClaw") but are mostly vendor/SEO content and never include smolagents.</w:t>
      </w:r>
    </w:p>
    <w:p>
      <w:pPr>
        <w:spacing w:after="200" w:line="276" w:lineRule="auto"/>
        <w:jc w:val="both"/>
      </w:pPr>
      <w:r>
        <w:rPr>
          <w:b/>
          <w:bCs/>
        </w:rPr>
        <w:t xml:space="preserve">Conclusion for the review:</w:t>
      </w:r>
      <w:r>
        <w:t xml:space="preserve"> The specific three-way comparison — closed native learning loop (Hermes) vs. transparent programmatic step-memory (smolagents) vs. planning/sub-agent/filesystem harness (Deep Agents) — does not appear in the literature and is a defensible original contribution of the fellowship's Sub-activity 1.1.</w:t>
      </w:r>
    </w:p>
    <w:p>
      <w:pPr>
        <w:spacing w:after="200" w:line="276" w:lineRule="auto"/>
        <w:jc w:val="both"/>
      </w:pPr>
      <w:r>
        <w:t xml:space="preserve">Framework contrast table (from primary sources):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2634"/>
        <w:gridCol w:w="2634"/>
        <w:gridCol w:w="2635"/>
      </w:tblGrid>
      <w:tr>
        <w:trPr>
          <w:tblHeader/>
        </w:trPr>
        <w:tc>
          <w:tcPr>
            <w:tcW w:type="dxa" w:w="1735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color w:val="FFFFFF"/>
              </w:rPr>
              <w:t xml:space="preserve">Dimension</w:t>
            </w:r>
          </w:p>
        </w:tc>
        <w:tc>
          <w:tcPr>
            <w:tcW w:type="dxa" w:w="2634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color w:val="FFFFFF"/>
              </w:rPr>
              <w:t xml:space="preserve">Hermes Agent (Nous Research)</w:t>
            </w:r>
          </w:p>
        </w:tc>
        <w:tc>
          <w:tcPr>
            <w:tcW w:type="dxa" w:w="2634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color w:val="FFFFFF"/>
              </w:rPr>
              <w:t xml:space="preserve">smolagents (Hugging Face)</w:t>
            </w:r>
          </w:p>
        </w:tc>
        <w:tc>
          <w:tcPr>
            <w:tcW w:type="dxa" w:w="2635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color w:val="FFFFFF"/>
              </w:rPr>
              <w:t xml:space="preserve">LangChain Deep Agents</w:t>
            </w:r>
          </w:p>
        </w:tc>
      </w:tr>
      <w:tr>
        <w:tc>
          <w:tcPr>
            <w:tcW w:type="dxa" w:w="1735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</w:pPr>
            <w:r>
              <w:t xml:space="preserve">Design philosophy</w:t>
            </w:r>
          </w:p>
        </w:tc>
        <w:tc>
          <w:tcPr>
            <w:tcW w:type="dxa" w:w="2634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</w:pPr>
            <w:r>
              <w:t xml:space="preserve">Closed native learning loop; "the agent that grows with you"</w:t>
            </w:r>
          </w:p>
        </w:tc>
        <w:tc>
          <w:tcPr>
            <w:tcW w:type="dxa" w:w="2634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</w:pPr>
            <w:r>
              <w:t xml:space="preserve">Transparent, minimal, code-first step memory</w:t>
            </w:r>
          </w:p>
        </w:tc>
        <w:tc>
          <w:tcPr>
            <w:tcW w:type="dxa" w:w="2635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</w:pPr>
            <w:r>
              <w:t xml:space="preserve">Opinionated harness: plan + delegate + offload</w:t>
            </w:r>
          </w:p>
        </w:tc>
      </w:tr>
      <w:tr>
        <w:tc>
          <w:tcPr>
            <w:tcW w:type="dxa" w:w="1735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</w:pPr>
            <w:r>
              <w:t xml:space="preserve">Memory</w:t>
            </w:r>
          </w:p>
        </w:tc>
        <w:tc>
          <w:tcPr>
            <w:tcW w:type="dxa" w:w="2634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</w:pPr>
            <w:r>
              <w:t xml:space="preserve">Multi-layer: prompt memory (MEMORY.md/USER.md) + episodic SQLite FTS5 archive + skill memory; pluggable providers</w:t>
            </w:r>
          </w:p>
        </w:tc>
        <w:tc>
          <w:tcPr>
            <w:tcW w:type="dxa" w:w="2634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</w:pPr>
            <w:r>
              <w:rPr>
                <w:rFonts w:ascii="Consolas" w:cs="Consolas" w:eastAsia="Consolas" w:hAnsi="Consolas"/>
                <w:sz w:val="20"/>
                <w:szCs w:val="20"/>
                <w:shd w:fill="F0F0F0"/>
              </w:rPr>
              <w:t xml:space="preserve">agent.memory.steps</w:t>
            </w:r>
            <w:r>
              <w:t xml:space="preserve"> list of ActionStep/PlanningStep logs; programmatically editable</w:t>
            </w:r>
          </w:p>
        </w:tc>
        <w:tc>
          <w:tcPr>
            <w:tcW w:type="dxa" w:w="2635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</w:pPr>
            <w:r>
              <w:t xml:space="preserve">StateBackend/StoreBackend/CompositeBackend + AGENTS.md</w:t>
            </w:r>
          </w:p>
        </w:tc>
      </w:tr>
      <w:tr>
        <w:tc>
          <w:tcPr>
            <w:tcW w:type="dxa" w:w="1735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</w:pPr>
            <w:r>
              <w:t xml:space="preserve">Learning</w:t>
            </w:r>
          </w:p>
        </w:tc>
        <w:tc>
          <w:tcPr>
            <w:tcW w:type="dxa" w:w="2634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</w:pPr>
            <w:r>
              <w:t xml:space="preserve">Autonomous session-to-skill conversion; self-improving skills</w:t>
            </w:r>
          </w:p>
        </w:tc>
        <w:tc>
          <w:tcPr>
            <w:tcW w:type="dxa" w:w="2634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</w:pPr>
            <w:r>
              <w:t xml:space="preserve">None native; developer controls everything</w:t>
            </w:r>
          </w:p>
        </w:tc>
        <w:tc>
          <w:tcPr>
            <w:tcW w:type="dxa" w:w="2635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</w:pPr>
            <w:r>
              <w:t xml:space="preserve">Skills + memory updated from usage; not a closed loop by default</w:t>
            </w:r>
          </w:p>
        </w:tc>
      </w:tr>
      <w:tr>
        <w:tc>
          <w:tcPr>
            <w:tcW w:type="dxa" w:w="1735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</w:pPr>
            <w:r>
              <w:t xml:space="preserve">Persistence</w:t>
            </w:r>
          </w:p>
        </w:tc>
        <w:tc>
          <w:tcPr>
            <w:tcW w:type="dxa" w:w="2634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</w:pPr>
            <w:r>
              <w:t xml:space="preserve">Persistent across sessions by default</w:t>
            </w:r>
          </w:p>
        </w:tc>
        <w:tc>
          <w:tcPr>
            <w:tcW w:type="dxa" w:w="2634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</w:pPr>
            <w:r>
              <w:t xml:space="preserve">In-run; persistence is developer-implemented</w:t>
            </w:r>
          </w:p>
        </w:tc>
        <w:tc>
          <w:tcPr>
            <w:tcW w:type="dxa" w:w="2635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</w:pPr>
            <w:r>
              <w:t xml:space="preserve">Opt-in cross-session via StoreBackend</w:t>
            </w:r>
          </w:p>
        </w:tc>
      </w:tr>
      <w:tr>
        <w:tc>
          <w:tcPr>
            <w:tcW w:type="dxa" w:w="1735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</w:pPr>
            <w:r>
              <w:t xml:space="preserve">Control surface</w:t>
            </w:r>
          </w:p>
        </w:tc>
        <w:tc>
          <w:tcPr>
            <w:tcW w:type="dxa" w:w="2634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</w:pPr>
            <w:r>
              <w:t xml:space="preserve">Curated/automatic</w:t>
            </w:r>
          </w:p>
        </w:tc>
        <w:tc>
          <w:tcPr>
            <w:tcW w:type="dxa" w:w="2634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</w:pPr>
            <w:r>
              <w:t xml:space="preserve">Fully explicit/white-box</w:t>
            </w:r>
          </w:p>
        </w:tc>
        <w:tc>
          <w:tcPr>
            <w:tcW w:type="dxa" w:w="2635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</w:pPr>
            <w:r>
              <w:t xml:space="preserve">Configurable middleware stack</w:t>
            </w:r>
          </w:p>
        </w:tc>
      </w:tr>
      <w:tr>
        <w:tc>
          <w:tcPr>
            <w:tcW w:type="dxa" w:w="1735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</w:pPr>
            <w:r>
              <w:t xml:space="preserve">Planning</w:t>
            </w:r>
          </w:p>
        </w:tc>
        <w:tc>
          <w:tcPr>
            <w:tcW w:type="dxa" w:w="2634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</w:pPr>
            <w:r>
              <w:t xml:space="preserve">Skills-driven</w:t>
            </w:r>
          </w:p>
        </w:tc>
        <w:tc>
          <w:tcPr>
            <w:tcW w:type="dxa" w:w="2634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</w:pPr>
            <w:r>
              <w:t xml:space="preserve">Optional PlanningStep at intervals</w:t>
            </w:r>
          </w:p>
        </w:tc>
        <w:tc>
          <w:tcPr>
            <w:tcW w:type="dxa" w:w="2635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 w:lineRule="auto"/>
            </w:pPr>
            <w:r>
              <w:rPr>
                <w:rFonts w:ascii="Consolas" w:cs="Consolas" w:eastAsia="Consolas" w:hAnsi="Consolas"/>
                <w:sz w:val="20"/>
                <w:szCs w:val="20"/>
                <w:shd w:fill="F0F0F0"/>
              </w:rPr>
              <w:t xml:space="preserve">write_todos</w:t>
            </w:r>
            <w:r>
              <w:t xml:space="preserve"> no-op planning tool</w:t>
            </w:r>
          </w:p>
        </w:tc>
      </w:tr>
    </w:tbl>
    <w:p>
      <w:pPr>
        <w:spacing w:after="160" w:line="276" w:lineRule="auto"/>
      </w:pPr>
    </w:p>
    <w:p>
      <w:pPr>
        <w:pStyle w:val="Heading1"/>
        <w:keepNext/>
        <w:spacing w:after="140" w:before="320" w:line="276" w:lineRule="auto"/>
      </w:pPr>
      <w:r>
        <w:t xml:space="preserve">Recommendations</w:t>
      </w:r>
    </w:p>
    <w:p>
      <w:pPr>
        <w:pStyle w:val="ListParagraph"/>
        <w:numPr>
          <w:ilvl w:val="0"/>
          <w:numId w:val="4"/>
        </w:numPr>
        <w:spacing w:after="140" w:line="276" w:lineRule="auto"/>
        <w:jc w:val="both"/>
      </w:pPr>
      <w:r>
        <w:rPr>
          <w:b/>
          <w:bCs/>
        </w:rPr>
        <w:t xml:space="preserve">Add LangChain Deep Agents to the bibliography as a first-class framework entry</w:t>
      </w:r>
      <w:r>
        <w:t xml:space="preserve">, citing three primary sources: the July 30, 2025 blog post (definitional), the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deepagents</w:t>
      </w:r>
      <w:r>
        <w:t xml:space="preserve"> GitHub repo (implementation), and the docs overview + context-engineering pages (architecture and memory). Flag all three as industry sources (blog/docs/repo), not peer-reviewed.</w:t>
      </w:r>
    </w:p>
    <w:p>
      <w:pPr>
        <w:pStyle w:val="ListParagraph"/>
        <w:numPr>
          <w:ilvl w:val="0"/>
          <w:numId w:val="4"/>
        </w:numPr>
        <w:spacing w:after="140" w:line="276" w:lineRule="auto"/>
        <w:jc w:val="both"/>
      </w:pPr>
      <w:r>
        <w:rPr>
          <w:b/>
          <w:bCs/>
        </w:rPr>
        <w:t xml:space="preserve">Position Deep Agents explicitly as the third pole</w:t>
      </w:r>
      <w:r>
        <w:t xml:space="preserve"> of a design-philosophy triangle: Hermes = closed native learning loop with layered memory + session-to-skill conversion; smolagents = transparent programmatic step-memory; Deep Agents = planning/sub-agent/filesystem harness with opt-in cross-session persistence. Use the contrast table above.</w:t>
      </w:r>
    </w:p>
    <w:p>
      <w:pPr>
        <w:pStyle w:val="ListParagraph"/>
        <w:numPr>
          <w:ilvl w:val="0"/>
          <w:numId w:val="4"/>
        </w:numPr>
        <w:spacing w:after="140" w:line="276" w:lineRule="auto"/>
        <w:jc w:val="both"/>
      </w:pPr>
      <w:r>
        <w:rPr>
          <w:b/>
          <w:bCs/>
        </w:rPr>
        <w:t xml:space="preserve">Explicitly disambiguate the two "DeepAgent(s)"</w:t>
      </w:r>
      <w:r>
        <w:t xml:space="preserve"> in the text: LangChain's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deepagents</w:t>
      </w:r>
      <w:r>
        <w:t xml:space="preserve"> library (industry harness) vs. RUC-NLPIR's "DeepAgent" (arXiv:2510.21618, WWW 2026, peer-reviewed reasoning model with memory folding). Cite both but never conflate.</w:t>
      </w:r>
    </w:p>
    <w:p>
      <w:pPr>
        <w:pStyle w:val="ListParagraph"/>
        <w:numPr>
          <w:ilvl w:val="0"/>
          <w:numId w:val="4"/>
        </w:numPr>
        <w:spacing w:after="140" w:line="276" w:lineRule="auto"/>
        <w:jc w:val="both"/>
      </w:pPr>
      <w:r>
        <w:rPr>
          <w:b/>
          <w:bCs/>
        </w:rPr>
        <w:t xml:space="preserve">Add the newly identified academic anchors</w:t>
      </w:r>
      <w:r>
        <w:t xml:space="preserve"> most relevant to controlled memory updates: Always-On Agents survey (arXiv:2606.30306) for governance axes; the long-term memory security survey (arXiv:2604.16548) for write-control/poisoning risk; and the "Second Half" memory survey (arXiv:2602.06052) to refresh the 2024 Zhang survey.</w:t>
      </w:r>
    </w:p>
    <w:p>
      <w:pPr>
        <w:pStyle w:val="ListParagraph"/>
        <w:numPr>
          <w:ilvl w:val="0"/>
          <w:numId w:val="4"/>
        </w:numPr>
        <w:spacing w:after="140" w:line="276" w:lineRule="auto"/>
        <w:jc w:val="both"/>
      </w:pPr>
      <w:r>
        <w:rPr>
          <w:b/>
          <w:bCs/>
        </w:rPr>
        <w:t xml:space="preserve">Claim the three-way comparison gap.</w:t>
      </w:r>
      <w:r>
        <w:t xml:space="preserve"> State that no source compares Hermes/smolagents/Deep Agents together (nearest is Workspace-Bench, arXiv:2605.03596, which covers Hermes + Deep Agents + OpenClaw but not smolagents), and that the fellowship's comparative framing is therefore novel. Threshold to revise this claim: if a survey or benchmark explicitly evaluating all three emerges, downgrade the novelty claim to "extends existing comparisons."</w:t>
      </w:r>
    </w:p>
    <w:p>
      <w:pPr>
        <w:pStyle w:val="ListParagraph"/>
        <w:numPr>
          <w:ilvl w:val="0"/>
          <w:numId w:val="4"/>
        </w:numPr>
        <w:spacing w:after="140" w:line="276" w:lineRule="auto"/>
        <w:jc w:val="both"/>
      </w:pPr>
      <w:r>
        <w:rPr>
          <w:b/>
          <w:bCs/>
        </w:rPr>
        <w:t xml:space="preserve">For the legal-workflow memory mechanism design</w:t>
      </w:r>
      <w:r>
        <w:t xml:space="preserve">, prefer Deep Agents' CompositeBackend routing model (explicit, file-based, auditable, no mandatory embeddings) as an architectural reference, because it makes memory writes inspectable and permission-controllable — critical for financial-sector compliance. Pair with the governance axes from the Always-On Agents survey to define what to persist, mutate, and roll back.</w:t>
      </w:r>
    </w:p>
    <w:p>
      <w:pPr>
        <w:pStyle w:val="Heading1"/>
        <w:keepNext/>
        <w:spacing w:after="140" w:before="320" w:line="276" w:lineRule="auto"/>
      </w:pPr>
      <w:r>
        <w:t xml:space="preserve">Caveats</w:t>
      </w:r>
    </w:p>
    <w:p>
      <w:pPr>
        <w:pStyle w:val="ListParagraph"/>
        <w:numPr>
          <w:ilvl w:val="0"/>
          <w:numId w:val="2"/>
        </w:numPr>
        <w:spacing w:after="140" w:line="276" w:lineRule="auto"/>
        <w:jc w:val="both"/>
      </w:pPr>
      <w:r>
        <w:rPr>
          <w:b/>
          <w:bCs/>
        </w:rPr>
        <w:t xml:space="preserve">Source-type honesty:</w:t>
      </w:r>
      <w:r>
        <w:t xml:space="preserve"> Deep Agents, Hermes, smolagents, and Anthropic's and Manus's write-ups are industry (blogs, docs, repos), not peer-reviewed. Only the arXiv/conference papers (DeepAgent WWW 2026; the surveys) are academic; several are recent preprints without confirmed peer-reviewed venues.</w:t>
      </w:r>
    </w:p>
    <w:p>
      <w:pPr>
        <w:pStyle w:val="ListParagraph"/>
        <w:numPr>
          <w:ilvl w:val="0"/>
          <w:numId w:val="2"/>
        </w:numPr>
        <w:spacing w:after="140" w:line="276" w:lineRule="auto"/>
        <w:jc w:val="both"/>
      </w:pPr>
      <w:r>
        <w:rPr>
          <w:b/>
          <w:bCs/>
        </w:rPr>
        <w:t xml:space="preserve">Version volatility:</w:t>
      </w:r>
      <w:r>
        <w:t xml:space="preserve"> Deep Agents is fast-moving (v0.7 made task planning opt-in; docs reference forthcoming model versions like "gpt-5.5"/"gemini-3.6-flash"). Cite version numbers and access dates.</w:t>
      </w:r>
    </w:p>
    <w:p>
      <w:pPr>
        <w:pStyle w:val="ListParagraph"/>
        <w:numPr>
          <w:ilvl w:val="0"/>
          <w:numId w:val="2"/>
        </w:numPr>
        <w:spacing w:after="140" w:line="276" w:lineRule="auto"/>
        <w:jc w:val="both"/>
      </w:pPr>
      <w:r>
        <w:rPr>
          <w:b/>
          <w:bCs/>
        </w:rPr>
        <w:t xml:space="preserve">"No-op" planning nuance:</w:t>
      </w:r>
      <w:r>
        <w:t xml:space="preserve"> The to-do tool does not execute logic; its benefit is purely context-engineering. Do not overstate it as a planner/executor.</w:t>
      </w:r>
    </w:p>
    <w:p>
      <w:pPr>
        <w:pStyle w:val="ListParagraph"/>
        <w:numPr>
          <w:ilvl w:val="0"/>
          <w:numId w:val="2"/>
        </w:numPr>
        <w:spacing w:after="140" w:line="276" w:lineRule="auto"/>
        <w:jc w:val="both"/>
      </w:pPr>
      <w:r>
        <w:rPr>
          <w:b/>
          <w:bCs/>
        </w:rPr>
        <w:t xml:space="preserve">Persistence is not default:</w:t>
      </w:r>
      <w:r>
        <w:t xml:space="preserve"> Deep Agents does NOT persist memory across sessions unless a StoreBackend/CompositeBackend is configured; the default StateBackend is ephemeral. Contrast with Hermes, which persists by default.</w:t>
      </w:r>
    </w:p>
    <w:p>
      <w:pPr>
        <w:pStyle w:val="ListParagraph"/>
        <w:numPr>
          <w:ilvl w:val="0"/>
          <w:numId w:val="2"/>
        </w:numPr>
        <w:spacing w:after="140" w:line="276" w:lineRule="auto"/>
        <w:jc w:val="both"/>
      </w:pPr>
      <w:r>
        <w:rPr>
          <w:b/>
          <w:bCs/>
        </w:rPr>
        <w:t xml:space="preserve">Popularity/quantitative metrics</w:t>
      </w:r>
      <w:r>
        <w:t xml:space="preserve"> (GitHub star counts, Hermes launch dates, Terminal-Bench scores) come from secondary/industry sources and should be independently reconfirmed before formal citation.</w:t>
      </w:r>
    </w:p>
    <w:p>
      <w:pPr>
        <w:pStyle w:val="ListParagraph"/>
        <w:numPr>
          <w:ilvl w:val="0"/>
          <w:numId w:val="2"/>
        </w:numPr>
        <w:spacing w:after="140" w:line="276" w:lineRule="auto"/>
        <w:jc w:val="both"/>
      </w:pPr>
      <w:r>
        <w:rPr>
          <w:b/>
          <w:bCs/>
        </w:rPr>
        <w:t xml:space="preserve">The term "deep agents" itself is industry-coined</w:t>
      </w:r>
      <w:r>
        <w:t xml:space="preserve">, largely by LangChain/Harrison Chase; the academic literature prefers "long-horizon agents." Present it as an industry-originated category, not an established academic taxonomy term.</w:t>
      </w:r>
    </w:p>
    <w:p>
      <w:pPr>
        <w:pStyle w:val="ListParagraph"/>
        <w:numPr>
          <w:ilvl w:val="0"/>
          <w:numId w:val="2"/>
        </w:numPr>
        <w:spacing w:after="140" w:line="276" w:lineRule="auto"/>
        <w:jc w:val="both"/>
      </w:pPr>
      <w:r>
        <w:rPr>
          <w:b/>
          <w:bCs/>
        </w:rPr>
        <w:t xml:space="preserve">Recent-preprint dating:</w:t>
      </w:r>
      <w:r>
        <w:t xml:space="preserve"> arXiv IDs in the 2602–2607 range are 2026 preprints consistent with the current date; verify author lists/versions with a direct arXiv fetch before formal citation.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6"/>
        <w:szCs w:val="16"/>
      </w:rPr>
      <w:t xml:space="preserve">Programa Inova Talentos – IPT Open | Sub-atividade 1.1 — Deep Agents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pPr>
      <w:spacing w:after="240" w:line="276" w:lineRule="auto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320" w:line="276" w:lineRule="auto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 w:line="276" w:lineRule="auto"/>
    </w:pPr>
    <w:rPr>
      <w:rFonts w:ascii="Calibri" w:cs="Calibri" w:eastAsia="Calibri" w:hAnsi="Calibri"/>
      <w:b/>
      <w:bCs/>
      <w:color w:val="2E5395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2026-08-18T11:48:45.750Z</dcterms:created>
  <dcterms:modified xsi:type="dcterms:W3CDTF">2026-08-18T11:48:45.771Z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