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r>
        <w:rPr>
          <w:b/>
          <w:color w:val="C5955C"/>
          <w:sz w:val="22"/>
        </w:rPr>
        <w:t>行业深度报告 | 融策·审盾系列</w:t>
      </w:r>
    </w:p>
    <w:p>
      <w:pPr>
        <w:pStyle w:val="RC_CoverTitle"/>
      </w:pPr>
      <w:r>
        <w:t>融策AI审计中台：重塑政府审计的数据穿透力</w:t>
      </w:r>
    </w:p>
    <w:p>
      <w:pPr>
        <w:pStyle w:val="RC_CoverSubtitle"/>
      </w:pPr>
      <w:r>
        <w:t>——从信息化核查到智能交叉验证的0到1跃迁</w:t>
      </w:r>
    </w:p>
    <w:p>
      <w:pPr>
        <w:pStyle w:val="Heading2"/>
        <w:ind w:left="0"/>
      </w:pPr>
      <w:r>
        <w:rPr>
          <w:color w:val="C5955C"/>
        </w:rPr>
        <w:t>核心观点（投资摘要）</w:t>
      </w:r>
    </w:p>
    <w:p>
      <w:pPr>
        <w:pStyle w:val="RC_CoverSummary"/>
      </w:pPr>
      <w:r>
        <w:t>⚡ 范式转移：传统审计主要依赖抽查与财务数据表面核对，融策AI中台通过「时空×行为×关系」多维坐标系，实现100%全量数据穿透，漏报率断崖式下降。</w:t>
      </w:r>
    </w:p>
    <w:p>
      <w:pPr>
        <w:pStyle w:val="RC_CoverSummary"/>
      </w:pPr>
      <w:r>
        <w:t>⚡ 降本增效：在绩效评价与经责审计场景中，AI复核模型将报告质量检查时间压缩30%以上，同时拦截95%以上的格式与逻辑矛盾。</w:t>
      </w:r>
    </w:p>
    <w:p>
      <w:pPr>
        <w:pStyle w:val="RC_CoverSummary"/>
      </w:pPr>
      <w:r>
        <w:t>⚡ 护城河建立：以「融策·审盾」为锚点，我们不仅提供审计结论，更提供可回溯、高可信的底层数字证据链，构成同业难以复制的竞争壁垒。</w:t>
      </w:r>
    </w:p>
    <w:p>
      <w:r>
        <w:br/>
        <w:br/>
        <w:br/>
        <w:br/>
        <w:br/>
        <w:br/>
      </w:r>
    </w:p>
    <w:tbl>
      <w:tblPr>
        <w:tblStyle w:val="LightGrid-Accent1"/>
        <w:tblW w:type="auto" w:w="0"/>
        <w:tblLook w:firstColumn="1" w:firstRow="1" w:lastColumn="0" w:lastRow="0" w:noHBand="0" w:noVBand="1" w:val="04A0"/>
      </w:tblPr>
      <w:tblGrid>
        <w:gridCol w:w="4366"/>
        <w:gridCol w:w="4366"/>
      </w:tblGrid>
      <w:tr>
        <w:tc>
          <w:tcPr>
            <w:tcW w:type="dxa" w:w="4366"/>
          </w:tcPr>
          <w:p>
            <w:r>
              <w:rPr>
                <w:rFonts w:ascii="Microsoft YaHei" w:hAnsi="Microsoft YaHei"/>
                <w:sz w:val="18"/>
              </w:rPr>
              <w:t>分析师</w:t>
            </w:r>
          </w:p>
        </w:tc>
        <w:tc>
          <w:tcPr>
            <w:tcW w:type="dxa" w:w="4366"/>
          </w:tcPr>
          <w:p>
            <w:r>
              <w:rPr>
                <w:rFonts w:ascii="Microsoft YaHei" w:hAnsi="Microsoft YaHei"/>
                <w:sz w:val="18"/>
              </w:rPr>
              <w:t>融策右护卫</w:t>
            </w:r>
          </w:p>
        </w:tc>
      </w:tr>
      <w:tr>
        <w:tc>
          <w:tcPr>
            <w:tcW w:type="dxa" w:w="4366"/>
          </w:tcPr>
          <w:p>
            <w:r>
              <w:rPr>
                <w:rFonts w:ascii="Microsoft YaHei" w:hAnsi="Microsoft YaHei"/>
                <w:sz w:val="18"/>
              </w:rPr>
              <w:t>执业编号</w:t>
            </w:r>
          </w:p>
        </w:tc>
        <w:tc>
          <w:tcPr>
            <w:tcW w:type="dxa" w:w="4366"/>
          </w:tcPr>
          <w:p>
            <w:r>
              <w:rPr>
                <w:rFonts w:ascii="Microsoft YaHei" w:hAnsi="Microsoft YaHei"/>
                <w:sz w:val="18"/>
              </w:rPr>
              <w:t>RC-AI-2026</w:t>
            </w:r>
          </w:p>
        </w:tc>
      </w:tr>
      <w:tr>
        <w:tc>
          <w:tcPr>
            <w:tcW w:type="dxa" w:w="4366"/>
          </w:tcPr>
          <w:p>
            <w:r>
              <w:rPr>
                <w:rFonts w:ascii="Microsoft YaHei" w:hAnsi="Microsoft YaHei"/>
                <w:sz w:val="18"/>
              </w:rPr>
              <w:t>联系方式</w:t>
            </w:r>
          </w:p>
        </w:tc>
        <w:tc>
          <w:tcPr>
            <w:tcW w:type="dxa" w:w="4366"/>
          </w:tcPr>
          <w:p>
            <w:r>
              <w:rPr>
                <w:rFonts w:ascii="Microsoft YaHei" w:hAnsi="Microsoft YaHei"/>
                <w:sz w:val="18"/>
              </w:rPr>
              <w:t>contact@rongce.com</w:t>
            </w:r>
          </w:p>
        </w:tc>
      </w:tr>
      <w:tr>
        <w:tc>
          <w:tcPr>
            <w:tcW w:type="dxa" w:w="4366"/>
          </w:tcPr>
          <w:p>
            <w:r>
              <w:rPr>
                <w:rFonts w:ascii="Microsoft YaHei" w:hAnsi="Microsoft YaHei"/>
                <w:sz w:val="18"/>
              </w:rPr>
              <w:t>报告日期</w:t>
            </w:r>
          </w:p>
        </w:tc>
        <w:tc>
          <w:tcPr>
            <w:tcW w:type="dxa" w:w="4366"/>
          </w:tcPr>
          <w:p>
            <w:r>
              <w:rPr>
                <w:rFonts w:ascii="Microsoft YaHei" w:hAnsi="Microsoft YaHei"/>
                <w:sz w:val="18"/>
              </w:rPr>
              <w:t>2026年7月21日</w:t>
            </w:r>
          </w:p>
        </w:tc>
      </w:tr>
    </w:tbl>
    <w:p>
      <w:r>
        <w:br w:type="page"/>
      </w:r>
    </w:p>
    <w:p>
      <w:pPr>
        <w:pStyle w:val="Heading1"/>
      </w:pPr>
      <w:r>
        <w:t>目  录</w:t>
      </w:r>
    </w:p>
    <w:p>
      <w:pPr/>
      <w:r>
        <w:t>[本模板使用时，请在此插入→引用→目录→自动生成]</w:t>
      </w:r>
    </w:p>
    <w:p>
      <w:pPr/>
      <w:r>
        <w:rPr>
          <w:color w:val="9B9B9B"/>
          <w:sz w:val="18"/>
        </w:rPr>
        <w:t>Word操作：点击"引用"选项卡 → "目录" → 选择自动目录样式</w:t>
      </w:r>
    </w:p>
    <w:p>
      <w:r>
        <w:br w:type="page"/>
      </w:r>
    </w:p>
    <w:p>
      <w:pPr>
        <w:pStyle w:val="Heading1"/>
      </w:pPr>
      <w:r>
        <w:t>1. 行业痛点：信息孤岛下的审计盲区</w:t>
      </w:r>
    </w:p>
    <w:p>
      <w:pPr/>
      <w:r>
        <w:t>长期以来，政府审计与工程咨询面临着海量非结构化数据难以有效利用的痛点。</w:t>
      </w:r>
      <w:r>
        <w:rPr>
          <w:b/>
          <w:color w:val="0A1F3F"/>
        </w:rPr>
        <w:t>传统"人工翻卷宗"模式不仅耗时耗力，更极易在繁杂的数据汪洋中遗漏关键串标或违规线索。</w:t>
      </w:r>
    </w:p>
    <w:p>
      <w:pPr>
        <w:pStyle w:val="Heading2"/>
      </w:pPr>
      <w:r>
        <w:t>1.1 招投标领域的围串标隐蔽化</w:t>
      </w:r>
    </w:p>
    <w:p>
      <w:pPr/>
      <w:r>
        <w:t>当前，围标串标手段已从初级的"IP地址重合"演化为复杂的"历史伴随投标"、"隐蔽股权代持"。单靠人工经验已无法应对规模化的合谋造假。因此，引入数据挖掘技术显得尤为迫切。</w:t>
      </w:r>
    </w:p>
    <w:p>
      <w:pPr>
        <w:pStyle w:val="RC_KeyBox"/>
      </w:pPr>
      <w:r>
        <w:t>🔍 核心发现：根据融策对近三年200个工程招标项目的数据分析，存在围串标嫌疑的项目占比高达18.3%，其中采用"历史伴随投标"手法的占比超过60%，而传统IP检测方法仅能识别其中不到30%。</w:t>
      </w:r>
    </w:p>
    <w:p>
      <w:pPr>
        <w:pStyle w:val="RC_ChartTitle"/>
      </w:pPr>
      <w:r>
        <w:t>图1：2020-2025年全国一般公共预算收入（亿元）</w:t>
      </w:r>
    </w:p>
    <w:p>
      <w:pPr>
        <w:jc w:val="center"/>
      </w:pPr>
      <w:r>
        <w:rPr>
          <w:color w:val="9B9B9B"/>
          <w:sz w:val="18"/>
        </w:rPr>
        <w:t>[此处插入由 securities_chart.py 生成的折线图PNG]</w:t>
      </w:r>
    </w:p>
    <w:p>
      <w:pPr>
        <w:pStyle w:val="RC_Source"/>
      </w:pPr>
      <w:r>
        <w:t>资料来源：财政部，融策会计师事务所</w:t>
      </w:r>
    </w:p>
    <w:p>
      <w:pPr>
        <w:pStyle w:val="Heading1"/>
      </w:pPr>
      <w:r>
        <w:t>2. 融策破局：AI中台的三层架构</w:t>
      </w:r>
    </w:p>
    <w:p>
      <w:pPr/>
      <w:r>
        <w:t>为解决上述痛点，融策开发了基于多Agent协同的审计中台架构。该架构包含数据接入、智能分析与报告生成三大模块。</w:t>
      </w:r>
    </w:p>
    <w:p>
      <w:pPr>
        <w:pStyle w:val="Heading2"/>
      </w:pPr>
      <w:r>
        <w:t>2.1 数据接入层：打破信息孤岛</w:t>
      </w:r>
    </w:p>
    <w:p>
      <w:pPr/>
      <w:r>
        <w:t>支持财政决算报表、招投标文件、工商登记信息、银行流水等20+种数据源的自动化接入与结构化处理。</w:t>
      </w:r>
    </w:p>
    <w:p>
      <w:pPr>
        <w:pStyle w:val="Heading3"/>
      </w:pPr>
      <w:r>
        <w:t>2.1.1 非结构化数据OCR</w:t>
      </w:r>
    </w:p>
    <w:p>
      <w:pPr/>
      <w:r>
        <w:t>采用PaddleOCR引擎，对PDF扫描件的识别准确率达到98.5%以上，支持表格还原、印章识别等高级功能。</w:t>
      </w:r>
    </w:p>
    <w:p>
      <w:r>
        <w:br w:type="page"/>
      </w:r>
    </w:p>
    <w:p>
      <w:pPr>
        <w:pStyle w:val="Heading1"/>
      </w:pPr>
      <w:r>
        <w:t>免责声明</w:t>
      </w:r>
    </w:p>
    <w:p>
      <w:pPr/>
    </w:p>
    <w:p>
      <w:pPr>
        <w:spacing w:line="360" w:lineRule="auto"/>
      </w:pPr>
      <w:r>
        <w:rPr>
          <w:color w:val="9B9B9B"/>
          <w:sz w:val="18"/>
        </w:rPr>
        <w:t>本报告仅供四川融策会计师事务所及四川融策工程咨询公司的内部决策与客户参考。报告中的信息均来源于已公开的资料，我公司对这些信息的准确性及完整性不作任何保证。报告中的信息或所表达的意见并不构成任何形式的投资或业务建议。</w:t>
      </w:r>
    </w:p>
    <w:p>
      <w:pPr/>
    </w:p>
    <w:p>
      <w:pPr>
        <w:pStyle w:val="Heading2"/>
        <w:ind w:left="0"/>
      </w:pPr>
      <w:r>
        <w:t>评级说明</w:t>
      </w:r>
    </w:p>
    <w:tbl>
      <w:tblPr>
        <w:tblStyle w:val="LightGrid-Accent1"/>
        <w:tblW w:type="auto" w:w="0"/>
        <w:tblLook w:firstColumn="1" w:firstRow="1" w:lastColumn="0" w:lastRow="0" w:noHBand="0" w:noVBand="1" w:val="04A0"/>
      </w:tblPr>
      <w:tblGrid>
        <w:gridCol w:w="4366"/>
        <w:gridCol w:w="4366"/>
      </w:tblGrid>
      <w:tr>
        <w:tc>
          <w:tcPr>
            <w:tcW w:type="dxa" w:w="4366"/>
          </w:tcPr>
          <w:p>
            <w:r>
              <w:rPr>
                <w:rFonts w:ascii="Microsoft YaHei" w:hAnsi="Microsoft YaHei"/>
                <w:sz w:val="18"/>
              </w:rPr>
              <w:t>评级</w:t>
            </w:r>
          </w:p>
        </w:tc>
        <w:tc>
          <w:tcPr>
            <w:tcW w:type="dxa" w:w="4366"/>
          </w:tcPr>
          <w:p>
            <w:r>
              <w:rPr>
                <w:rFonts w:ascii="Microsoft YaHei" w:hAnsi="Microsoft YaHei"/>
                <w:sz w:val="18"/>
              </w:rPr>
              <w:t>说明</w:t>
            </w:r>
          </w:p>
        </w:tc>
      </w:tr>
      <w:tr>
        <w:tc>
          <w:tcPr>
            <w:tcW w:type="dxa" w:w="4366"/>
          </w:tcPr>
          <w:p>
            <w:r>
              <w:rPr>
                <w:rFonts w:ascii="Microsoft YaHei" w:hAnsi="Microsoft YaHei"/>
                <w:sz w:val="18"/>
              </w:rPr>
              <w:t>优秀</w:t>
            </w:r>
          </w:p>
        </w:tc>
        <w:tc>
          <w:tcPr>
            <w:tcW w:type="dxa" w:w="4366"/>
          </w:tcPr>
          <w:p>
            <w:r>
              <w:rPr>
                <w:rFonts w:ascii="Microsoft YaHei" w:hAnsi="Microsoft YaHei"/>
                <w:sz w:val="18"/>
              </w:rPr>
              <w:t>各项指标均达到或超过预期目标，无重大问题</w:t>
            </w:r>
          </w:p>
        </w:tc>
      </w:tr>
      <w:tr>
        <w:tc>
          <w:tcPr>
            <w:tcW w:type="dxa" w:w="4366"/>
          </w:tcPr>
          <w:p>
            <w:r>
              <w:rPr>
                <w:rFonts w:ascii="Microsoft YaHei" w:hAnsi="Microsoft YaHei"/>
                <w:sz w:val="18"/>
              </w:rPr>
              <w:t>良好</w:t>
            </w:r>
          </w:p>
        </w:tc>
        <w:tc>
          <w:tcPr>
            <w:tcW w:type="dxa" w:w="4366"/>
          </w:tcPr>
          <w:p>
            <w:r>
              <w:rPr>
                <w:rFonts w:ascii="Microsoft YaHei" w:hAnsi="Microsoft YaHei"/>
                <w:sz w:val="18"/>
              </w:rPr>
              <w:t>多数指标达到预期，存在轻微问题但不影响整体评价</w:t>
            </w:r>
          </w:p>
        </w:tc>
      </w:tr>
      <w:tr>
        <w:tc>
          <w:tcPr>
            <w:tcW w:type="dxa" w:w="4366"/>
          </w:tcPr>
          <w:p>
            <w:r>
              <w:rPr>
                <w:rFonts w:ascii="Microsoft YaHei" w:hAnsi="Microsoft YaHei"/>
                <w:sz w:val="18"/>
              </w:rPr>
              <w:t>需改进</w:t>
            </w:r>
          </w:p>
        </w:tc>
        <w:tc>
          <w:tcPr>
            <w:tcW w:type="dxa" w:w="4366"/>
          </w:tcPr>
          <w:p>
            <w:r>
              <w:rPr>
                <w:rFonts w:ascii="Microsoft YaHei" w:hAnsi="Microsoft YaHei"/>
                <w:sz w:val="18"/>
              </w:rPr>
              <w:t>关键指标未达标，存在较严重问题，需要整改</w:t>
            </w:r>
          </w:p>
        </w:tc>
      </w:tr>
    </w:tbl>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Microsoft YaHei" w:hAnsi="Microsoft YaHei" w:eastAsia="Microsoft YaHei"/>
      <w:color w:val="4A4A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ind w:left="200"/>
      <w:jc w:val="left"/>
      <w:outlineLvl w:val="0"/>
      <w:shd w:fill="0A1F3F"/>
    </w:pPr>
    <w:rPr>
      <w:rFonts w:asciiTheme="majorHAnsi" w:eastAsiaTheme="majorEastAsia" w:hAnsiTheme="majorHAnsi" w:cstheme="majorBidi" w:ascii="Microsoft YaHei" w:hAnsi="Microsoft YaHei" w:eastAsia="Microsoft YaHei"/>
      <w:b/>
      <w:bCs/>
      <w:color w:val="FFFFFF"/>
      <w:sz w:val="32"/>
      <w:szCs w:val="28"/>
    </w:rPr>
  </w:style>
  <w:style w:type="paragraph" w:styleId="Heading2">
    <w:name w:val="heading 2"/>
    <w:basedOn w:val="Normal"/>
    <w:next w:val="Normal"/>
    <w:link w:val="Heading2Char"/>
    <w:uiPriority w:val="9"/>
    <w:unhideWhenUsed/>
    <w:qFormat/>
    <w:rsid w:val="00FC693F"/>
    <w:pPr>
      <w:keepNext/>
      <w:keepLines/>
      <w:spacing w:before="360" w:after="160"/>
      <w:ind w:left="240"/>
      <w:outlineLvl w:val="1"/>
    </w:pPr>
    <w:rPr>
      <w:rFonts w:asciiTheme="majorHAnsi" w:eastAsiaTheme="majorEastAsia" w:hAnsiTheme="majorHAnsi" w:cstheme="majorBidi" w:ascii="Microsoft YaHei" w:hAnsi="Microsoft YaHei" w:eastAsia="Microsoft YaHei"/>
      <w:b/>
      <w:bCs/>
      <w:color w:val="1A5C6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Microsoft YaHei" w:hAnsi="Microsoft YaHei" w:eastAsia="Microsoft YaHei"/>
      <w:b/>
      <w:bCs/>
      <w:color w:val="4A4A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C_CoverTitle">
    <w:name w:val="RC_CoverTitle"/>
    <w:basedOn w:val="Heading1"/>
    <w:pPr>
      <w:spacing w:after="400" w:before="1200"/>
      <w:jc w:val="left"/>
    </w:pPr>
    <w:rPr>
      <w:rFonts w:ascii="Microsoft YaHei" w:hAnsi="Microsoft YaHei"/>
      <w:b/>
      <w:color w:val="0A1F3F"/>
      <w:sz w:val="52"/>
    </w:rPr>
  </w:style>
  <w:style w:type="paragraph" w:customStyle="1" w:styleId="RC_CoverSubtitle">
    <w:name w:val="RC_CoverSubtitle"/>
    <w:pPr>
      <w:spacing w:after="800"/>
      <w:jc w:val="left"/>
    </w:pPr>
    <w:rPr>
      <w:rFonts w:ascii="Microsoft YaHei" w:hAnsi="Microsoft YaHei"/>
      <w:b w:val="0"/>
      <w:color w:val="1A5C6E"/>
      <w:sz w:val="32"/>
    </w:rPr>
  </w:style>
  <w:style w:type="paragraph" w:customStyle="1" w:styleId="RC_CoverSummary">
    <w:name w:val="RC_CoverSummary"/>
    <w:pPr>
      <w:spacing w:line="360" w:lineRule="auto" w:after="240"/>
      <w:ind w:left="283"/>
      <w:jc w:val="both"/>
    </w:pPr>
    <w:rPr>
      <w:rFonts w:ascii="Microsoft YaHei" w:hAnsi="Microsoft YaHei"/>
      <w:b w:val="0"/>
      <w:color w:val="4A4A4A"/>
      <w:sz w:val="22"/>
    </w:rPr>
  </w:style>
  <w:style w:type="character" w:customStyle="1" w:styleId="RC_Highlight">
    <w:name w:val="RC_Highlight"/>
    <w:rPr>
      <w:b/>
      <w:color w:val="0A1F3F"/>
    </w:rPr>
  </w:style>
  <w:style w:type="paragraph" w:customStyle="1" w:styleId="RC_ChartTitle">
    <w:name w:val="RC_ChartTitle"/>
    <w:pPr>
      <w:spacing w:before="240" w:after="120"/>
      <w:jc w:val="center"/>
    </w:pPr>
    <w:rPr>
      <w:rFonts w:ascii="Microsoft YaHei" w:hAnsi="Microsoft YaHei"/>
      <w:b/>
      <w:color w:val="0A1F3F"/>
      <w:sz w:val="20"/>
    </w:rPr>
  </w:style>
  <w:style w:type="paragraph" w:customStyle="1" w:styleId="RC_Source">
    <w:name w:val="RC_Source"/>
    <w:pPr>
      <w:spacing w:after="360"/>
      <w:jc w:val="center"/>
    </w:pPr>
    <w:rPr>
      <w:rFonts w:ascii="Microsoft YaHei" w:hAnsi="Microsoft YaHei"/>
      <w:i/>
      <w:color w:val="9B9B9B"/>
      <w:sz w:val="16"/>
    </w:rPr>
  </w:style>
  <w:style w:type="paragraph" w:customStyle="1" w:styleId="RC_KeyBox">
    <w:name w:val="RC_KeyBox"/>
    <w:pPr>
      <w:spacing w:before="240" w:after="240" w:line="312" w:lineRule="auto"/>
      <w:ind w:left="567" w:right="567"/>
      <w:jc w:val="both"/>
      <w:shd w:fill="F5F2EC"/>
    </w:pPr>
    <w:rPr>
      <w:rFonts w:ascii="Microsoft YaHei" w:hAnsi="Microsoft YaHei"/>
      <w:color w:val="4A4A4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